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035" w:rsidRPr="00330B64" w:rsidRDefault="002A6035" w:rsidP="002A6035">
      <w:pPr>
        <w:pStyle w:val="NormalWeb"/>
        <w:shd w:val="clear" w:color="auto" w:fill="92D050"/>
        <w:spacing w:before="0" w:after="120" w:line="360" w:lineRule="auto"/>
        <w:ind w:left="0" w:right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330B64">
        <w:rPr>
          <w:rFonts w:asciiTheme="majorHAnsi" w:hAnsiTheme="majorHAnsi" w:cs="Arial"/>
          <w:b/>
          <w:sz w:val="24"/>
          <w:szCs w:val="24"/>
          <w:u w:val="single"/>
        </w:rPr>
        <w:t>5.- GRAVAMEN PERSONAL, CONCRETO Y ACTUAL</w:t>
      </w:r>
      <w:r>
        <w:rPr>
          <w:rFonts w:asciiTheme="majorHAnsi" w:hAnsiTheme="majorHAnsi" w:cs="Arial"/>
          <w:b/>
          <w:sz w:val="24"/>
          <w:szCs w:val="24"/>
          <w:u w:val="single"/>
        </w:rPr>
        <w:t xml:space="preserve"> (pendiente)</w:t>
      </w:r>
    </w:p>
    <w:p w:rsidR="002A6035" w:rsidRPr="006C162B" w:rsidRDefault="002A6035" w:rsidP="002A6035">
      <w:pPr>
        <w:spacing w:after="120" w:line="240" w:lineRule="auto"/>
        <w:jc w:val="both"/>
        <w:rPr>
          <w:rFonts w:asciiTheme="majorHAnsi" w:hAnsiTheme="majorHAnsi"/>
          <w:sz w:val="20"/>
          <w:szCs w:val="20"/>
        </w:rPr>
      </w:pPr>
      <w:bookmarkStart w:id="0" w:name="_GoBack"/>
      <w:bookmarkEnd w:id="0"/>
      <w:r w:rsidRPr="006C162B">
        <w:rPr>
          <w:rFonts w:asciiTheme="majorHAnsi" w:hAnsiTheme="majorHAnsi"/>
          <w:sz w:val="20"/>
          <w:szCs w:val="20"/>
        </w:rPr>
        <w:t xml:space="preserve">En el presente caso invocamos la protección que nos brindan los artículos 1, 5 y 31 que adoptan la forma republicana de gobierno, la que desde luego se basa en elecciones periódicas con todas las garantías; el artículo 37 que “garantiza el pleno ejercicio de los derechos políticos, con arreglo al principio de la soberanía popular y de las leyes que se dicten en consecuencia. </w:t>
      </w:r>
    </w:p>
    <w:p w:rsidR="002A6035" w:rsidRPr="006C162B" w:rsidRDefault="002A6035" w:rsidP="002A6035">
      <w:pPr>
        <w:spacing w:after="120" w:line="240" w:lineRule="auto"/>
        <w:jc w:val="both"/>
        <w:rPr>
          <w:rFonts w:asciiTheme="majorHAnsi" w:hAnsiTheme="majorHAnsi"/>
          <w:sz w:val="20"/>
          <w:szCs w:val="20"/>
        </w:rPr>
      </w:pPr>
      <w:r w:rsidRPr="006C162B">
        <w:rPr>
          <w:rFonts w:asciiTheme="majorHAnsi" w:hAnsiTheme="majorHAnsi"/>
          <w:sz w:val="20"/>
          <w:szCs w:val="20"/>
        </w:rPr>
        <w:t xml:space="preserve">El sufragio es universal, igual, secreto y obligatorio” y el artículo 38 que establece que “Los partidos políticos son instituciones fundamentales del sistema democrático” con “competencia para la postulación de cargos públicos electivos, el acceso a la información pública y la difusión de sus ideas”. </w:t>
      </w:r>
    </w:p>
    <w:p w:rsidR="002A6035" w:rsidRDefault="002A6035" w:rsidP="002A6035">
      <w:pPr>
        <w:spacing w:after="120" w:line="240" w:lineRule="auto"/>
        <w:jc w:val="both"/>
        <w:rPr>
          <w:rFonts w:asciiTheme="majorHAnsi" w:hAnsiTheme="majorHAnsi"/>
          <w:sz w:val="20"/>
          <w:szCs w:val="20"/>
        </w:rPr>
      </w:pPr>
      <w:r w:rsidRPr="006C162B">
        <w:rPr>
          <w:rFonts w:asciiTheme="majorHAnsi" w:hAnsiTheme="majorHAnsi"/>
          <w:sz w:val="20"/>
          <w:szCs w:val="20"/>
        </w:rPr>
        <w:t xml:space="preserve">Con este marco legal está claro que negarle a los partidos políticos el derecho a efectuar una auditoría propia y autónoma del “código fuente” o sea de las instrucciones que el programador le da a la máquina, implica desconocer el derecho elemental de control de los actos electorales que les cabe a los partidos políticos como “Instituciones fundamentales del sistema democrático” (artículo 38), con rol de intermediación entre la ciudadanía y el poder, a través precisamente de las elecciones. </w:t>
      </w:r>
    </w:p>
    <w:p w:rsidR="002A6035" w:rsidRDefault="002A6035" w:rsidP="002A6035">
      <w:pPr>
        <w:spacing w:after="120" w:line="240" w:lineRule="auto"/>
        <w:jc w:val="both"/>
        <w:rPr>
          <w:rFonts w:asciiTheme="majorHAnsi" w:hAnsiTheme="majorHAnsi"/>
          <w:sz w:val="20"/>
          <w:szCs w:val="20"/>
        </w:rPr>
      </w:pPr>
      <w:r w:rsidRPr="006C162B">
        <w:rPr>
          <w:rFonts w:asciiTheme="majorHAnsi" w:hAnsiTheme="majorHAnsi"/>
          <w:sz w:val="20"/>
          <w:szCs w:val="20"/>
        </w:rPr>
        <w:t xml:space="preserve">El órgano electoral puede desde luego contratar sus propias auditorías, pero en este tema en que está en juego la voluntad popular, los partidos políticos tiene derecho a realizar una auditoría independiente, que les dé garantías frente a la utilización de medios informáticos. El artículo 38 hasta les reconoce amplio “acceso información pública” y esta lo sería, además del rol de control que les compete por ser partes del proceso electoral. </w:t>
      </w:r>
    </w:p>
    <w:p w:rsidR="002A6035" w:rsidRPr="006C162B" w:rsidRDefault="002A6035" w:rsidP="002A6035">
      <w:pPr>
        <w:spacing w:after="120" w:line="240" w:lineRule="auto"/>
        <w:jc w:val="both"/>
        <w:rPr>
          <w:rFonts w:asciiTheme="majorHAnsi" w:hAnsiTheme="majorHAnsi"/>
          <w:sz w:val="20"/>
          <w:szCs w:val="20"/>
        </w:rPr>
      </w:pPr>
      <w:r w:rsidRPr="006C162B">
        <w:rPr>
          <w:rFonts w:asciiTheme="majorHAnsi" w:hAnsiTheme="majorHAnsi"/>
          <w:sz w:val="20"/>
          <w:szCs w:val="20"/>
        </w:rPr>
        <w:t>La propia Corte en “Ríos” también ha dicho que “Los partidos políticos…condicionan los aspectos más íntimos de la vida política nacional y la acción de los poderes gubernamentales. De aquellos depende en gran medida lo que ha de ser, en los hechos, la democracia del país…” (Fallos: 310:819). Precisamente el objetivo del presente recurso es la preservación de nuestra democracia local a la luz de los principios de la Constitución Nacional invocados en el presente.</w:t>
      </w:r>
    </w:p>
    <w:p w:rsidR="002A6035" w:rsidRPr="006C162B" w:rsidRDefault="002A6035" w:rsidP="002A6035">
      <w:pPr>
        <w:spacing w:after="120" w:line="240" w:lineRule="auto"/>
        <w:jc w:val="both"/>
        <w:rPr>
          <w:rFonts w:asciiTheme="majorHAnsi" w:hAnsiTheme="majorHAnsi"/>
          <w:sz w:val="20"/>
          <w:szCs w:val="20"/>
        </w:rPr>
      </w:pPr>
      <w:r w:rsidRPr="006C162B">
        <w:rPr>
          <w:rFonts w:asciiTheme="majorHAnsi" w:hAnsiTheme="majorHAnsi"/>
          <w:sz w:val="20"/>
          <w:szCs w:val="20"/>
        </w:rPr>
        <w:t>Por las razones antedichas y el reconocimiento que la Constitución Nacional les da a los partidos políticos, tampoco puede negarse a los mismos el derecho a auditar la logística electoral en orden al control y resguardo de las máquinas electrónicas utilizadas para votar y las urnas. Como también el derecho al conteo manual de mesa cuando se abren las boletas electrónicas depositadas en las urnas.</w:t>
      </w:r>
    </w:p>
    <w:p w:rsidR="002A6035" w:rsidRPr="00330B64" w:rsidRDefault="002A6035" w:rsidP="002A6035">
      <w:pPr>
        <w:spacing w:after="120" w:line="360" w:lineRule="auto"/>
        <w:jc w:val="both"/>
        <w:rPr>
          <w:rFonts w:asciiTheme="majorHAnsi" w:hAnsiTheme="majorHAnsi"/>
          <w:sz w:val="24"/>
          <w:szCs w:val="24"/>
        </w:rPr>
      </w:pPr>
      <w:r w:rsidRPr="00330B64">
        <w:rPr>
          <w:rFonts w:asciiTheme="majorHAnsi" w:hAnsiTheme="majorHAnsi"/>
          <w:sz w:val="24"/>
          <w:szCs w:val="24"/>
        </w:rPr>
        <w:t>Las negativas del órgano electoral, adolecen del vicio de inconstitucionalidad pues son contrarias a la Constitución Nacional por las razones antedichas, además de la legislación local, en esta caso la Constitución de Salta (artículo 55) y la propia Ley 7730 de Boleta Electrónica la que en su artículo 12 inciso b reconoce el derecho de los partidos a acceder al código fuente y a fiscalizar la elección y los artículos 11 y 12 inciso c que se refieren al conteo manual. Por lo tanto además del vicio de inconstitucionalidad, estamos frente a un caso de arbitrariedad manifiesta, que también habilita la vía del recurso extraordinario.</w:t>
      </w:r>
    </w:p>
    <w:p w:rsidR="002A6035" w:rsidRPr="00330B64" w:rsidRDefault="002A6035" w:rsidP="002A6035">
      <w:pPr>
        <w:spacing w:after="120" w:line="360" w:lineRule="auto"/>
        <w:jc w:val="both"/>
        <w:rPr>
          <w:rFonts w:asciiTheme="majorHAnsi" w:hAnsiTheme="majorHAnsi"/>
          <w:sz w:val="24"/>
          <w:szCs w:val="24"/>
        </w:rPr>
      </w:pPr>
      <w:r w:rsidRPr="00330B64">
        <w:rPr>
          <w:rFonts w:asciiTheme="majorHAnsi" w:hAnsiTheme="majorHAnsi"/>
          <w:sz w:val="24"/>
          <w:szCs w:val="24"/>
        </w:rPr>
        <w:t>6.-Además están los tratados internacionales. FIJATE QUÉ TODO LO NEGADO ES LO RECONOCIDO POR SARAVIA, COMO VOS BIEN LO PUNTUALIZAS.</w:t>
      </w:r>
    </w:p>
    <w:p w:rsidR="00437539" w:rsidRDefault="00437539"/>
    <w:sectPr w:rsidR="00437539" w:rsidSect="004C6DC3">
      <w:pgSz w:w="11907" w:h="16840" w:code="9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976B6"/>
    <w:multiLevelType w:val="hybridMultilevel"/>
    <w:tmpl w:val="A4106134"/>
    <w:lvl w:ilvl="0" w:tplc="2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AD09F6"/>
    <w:multiLevelType w:val="hybridMultilevel"/>
    <w:tmpl w:val="A31AAB64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817"/>
    <w:rsid w:val="000A4088"/>
    <w:rsid w:val="001D03C1"/>
    <w:rsid w:val="00295D76"/>
    <w:rsid w:val="002A6035"/>
    <w:rsid w:val="00437539"/>
    <w:rsid w:val="004A5EE0"/>
    <w:rsid w:val="004C6DC3"/>
    <w:rsid w:val="006024FB"/>
    <w:rsid w:val="00627DD5"/>
    <w:rsid w:val="00660131"/>
    <w:rsid w:val="00966817"/>
    <w:rsid w:val="00A70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8066F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035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27D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627D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rrafodelista">
    <w:name w:val="List Paragraph"/>
    <w:basedOn w:val="Normal"/>
    <w:uiPriority w:val="34"/>
    <w:qFormat/>
    <w:rsid w:val="00627DD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A6035"/>
    <w:pPr>
      <w:spacing w:before="150" w:after="300" w:line="240" w:lineRule="auto"/>
      <w:ind w:left="600" w:right="600"/>
    </w:pPr>
    <w:rPr>
      <w:rFonts w:ascii="Times New Roman" w:eastAsia="Times New Roman" w:hAnsi="Times New Roman" w:cs="Times New Roman"/>
      <w:color w:val="000000"/>
      <w:sz w:val="20"/>
      <w:szCs w:val="20"/>
      <w:lang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035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27D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627D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rrafodelista">
    <w:name w:val="List Paragraph"/>
    <w:basedOn w:val="Normal"/>
    <w:uiPriority w:val="34"/>
    <w:qFormat/>
    <w:rsid w:val="00627DD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A6035"/>
    <w:pPr>
      <w:spacing w:before="150" w:after="300" w:line="240" w:lineRule="auto"/>
      <w:ind w:left="600" w:right="600"/>
    </w:pPr>
    <w:rPr>
      <w:rFonts w:ascii="Times New Roman" w:eastAsia="Times New Roman" w:hAnsi="Times New Roman" w:cs="Times New Roman"/>
      <w:color w:val="000000"/>
      <w:sz w:val="20"/>
      <w:szCs w:val="20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510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Armando</dc:creator>
  <cp:lastModifiedBy>Armando</cp:lastModifiedBy>
  <cp:revision>1</cp:revision>
  <dcterms:created xsi:type="dcterms:W3CDTF">2015-05-23T11:24:00Z</dcterms:created>
  <dcterms:modified xsi:type="dcterms:W3CDTF">2015-05-24T02:05:00Z</dcterms:modified>
</cp:coreProperties>
</file>