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59" w:rsidRDefault="00435B02" w:rsidP="00EE4CBE">
      <w:pPr>
        <w:pStyle w:val="Prrafodelista"/>
        <w:numPr>
          <w:ilvl w:val="0"/>
          <w:numId w:val="1"/>
        </w:numPr>
        <w:shd w:val="clear" w:color="auto" w:fill="FFFFFF"/>
        <w:spacing w:after="240" w:line="240" w:lineRule="auto"/>
        <w:jc w:val="center"/>
        <w:rPr>
          <w:rFonts w:asciiTheme="majorHAnsi" w:hAnsiTheme="majorHAnsi" w:cs="Arial"/>
          <w:b/>
          <w:color w:val="222222"/>
          <w:sz w:val="28"/>
          <w:szCs w:val="28"/>
          <w:u w:val="single"/>
          <w:lang w:eastAsia="es-AR"/>
        </w:rPr>
      </w:pPr>
      <w:r>
        <w:rPr>
          <w:rFonts w:asciiTheme="majorHAnsi" w:hAnsiTheme="majorHAnsi" w:cs="Arial"/>
          <w:b/>
          <w:color w:val="222222"/>
          <w:sz w:val="28"/>
          <w:szCs w:val="28"/>
          <w:u w:val="single"/>
          <w:lang w:eastAsia="es-AR"/>
        </w:rPr>
        <w:t>RESUMEN</w:t>
      </w:r>
    </w:p>
    <w:p w:rsidR="00291079" w:rsidRPr="00291079" w:rsidRDefault="00EE4CBE" w:rsidP="00291079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b/>
          <w:color w:val="222222"/>
          <w:sz w:val="24"/>
          <w:szCs w:val="24"/>
          <w:lang w:eastAsia="es-AR"/>
        </w:rPr>
      </w:pPr>
      <w:r w:rsidRPr="00291079">
        <w:rPr>
          <w:rFonts w:asciiTheme="majorHAnsi" w:hAnsiTheme="majorHAnsi" w:cs="Arial"/>
          <w:b/>
          <w:color w:val="222222"/>
          <w:sz w:val="24"/>
          <w:szCs w:val="24"/>
          <w:lang w:eastAsia="es-AR"/>
        </w:rPr>
        <w:t>1.- Objeto</w:t>
      </w:r>
      <w:r w:rsidR="00291079" w:rsidRPr="00291079">
        <w:rPr>
          <w:rFonts w:asciiTheme="majorHAnsi" w:hAnsiTheme="majorHAnsi" w:cs="Arial"/>
          <w:b/>
          <w:color w:val="222222"/>
          <w:sz w:val="24"/>
          <w:szCs w:val="24"/>
          <w:lang w:eastAsia="es-AR"/>
        </w:rPr>
        <w:t xml:space="preserve"> del recurso</w:t>
      </w:r>
      <w:r w:rsidRPr="00291079">
        <w:rPr>
          <w:rFonts w:asciiTheme="majorHAnsi" w:hAnsiTheme="majorHAnsi" w:cs="Arial"/>
          <w:b/>
          <w:color w:val="222222"/>
          <w:sz w:val="24"/>
          <w:szCs w:val="24"/>
          <w:lang w:eastAsia="es-AR"/>
        </w:rPr>
        <w:t xml:space="preserve"> </w:t>
      </w:r>
    </w:p>
    <w:p w:rsidR="00EE4CBE" w:rsidRDefault="00473E04" w:rsidP="00291079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El objeto de este recurso de inconstitucionalidad es que </w:t>
      </w:r>
      <w:r w:rsidR="00382E21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la Corte de Justicia de Salta revoque proveídos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y subsane omisiones </w:t>
      </w:r>
      <w:r w:rsidR="00382E21">
        <w:rPr>
          <w:rFonts w:asciiTheme="majorHAnsi" w:hAnsiTheme="majorHAnsi" w:cs="Arial"/>
          <w:color w:val="222222"/>
          <w:sz w:val="24"/>
          <w:szCs w:val="24"/>
          <w:lang w:eastAsia="es-AR"/>
        </w:rPr>
        <w:t>del Tribunal Electoral contrarios al derecho fundamental al voto universal, secreto y seguro</w:t>
      </w:r>
      <w:r w:rsidR="00EE4CBE">
        <w:rPr>
          <w:rFonts w:asciiTheme="majorHAnsi" w:hAnsiTheme="majorHAnsi" w:cs="Arial"/>
          <w:color w:val="222222"/>
          <w:sz w:val="24"/>
          <w:szCs w:val="24"/>
          <w:lang w:eastAsia="es-AR"/>
        </w:rPr>
        <w:t>,</w:t>
      </w:r>
      <w:r w:rsidR="00382E21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y a las Ley</w:t>
      </w:r>
      <w:r w:rsidR="00EE4CBE">
        <w:rPr>
          <w:rFonts w:asciiTheme="majorHAnsi" w:hAnsiTheme="majorHAnsi" w:cs="Arial"/>
          <w:color w:val="222222"/>
          <w:sz w:val="24"/>
          <w:szCs w:val="24"/>
          <w:lang w:eastAsia="es-AR"/>
        </w:rPr>
        <w:t>es</w:t>
      </w:r>
      <w:r w:rsidR="00382E21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7.730/12 </w:t>
      </w:r>
      <w:r w:rsidR="00EE4CBE">
        <w:rPr>
          <w:rFonts w:asciiTheme="majorHAnsi" w:hAnsiTheme="majorHAnsi" w:cs="Arial"/>
          <w:color w:val="222222"/>
          <w:sz w:val="24"/>
          <w:szCs w:val="24"/>
          <w:lang w:eastAsia="es-AR"/>
        </w:rPr>
        <w:t>(Normas de control para el voto con boleta electrónica) y 6</w:t>
      </w:r>
      <w:r w:rsidR="00B47463">
        <w:rPr>
          <w:rFonts w:asciiTheme="majorHAnsi" w:hAnsiTheme="majorHAnsi" w:cs="Arial"/>
          <w:color w:val="222222"/>
          <w:sz w:val="24"/>
          <w:szCs w:val="24"/>
          <w:lang w:eastAsia="es-AR"/>
        </w:rPr>
        <w:t>.</w:t>
      </w:r>
      <w:r w:rsidR="00EE4CBE">
        <w:rPr>
          <w:rFonts w:asciiTheme="majorHAnsi" w:hAnsiTheme="majorHAnsi" w:cs="Arial"/>
          <w:color w:val="222222"/>
          <w:sz w:val="24"/>
          <w:szCs w:val="24"/>
          <w:lang w:eastAsia="es-AR"/>
        </w:rPr>
        <w:t>444/87 (Código Electoral Provincial).</w:t>
      </w:r>
    </w:p>
    <w:p w:rsidR="00473E04" w:rsidRDefault="00473E04" w:rsidP="00291079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Se trata de lograr que las próximas elecciones de 17 de mayo se realicen bajo la efectiva vigencia de los derechos y garantías que consagran las Constituciones de la Nación</w:t>
      </w:r>
      <w:r w:rsidR="005D275C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(CN)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y de la Provincia</w:t>
      </w:r>
      <w:r w:rsidR="005D275C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(CP)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y los Tratados internacionales </w:t>
      </w:r>
      <w:r w:rsidR="005D275C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(TI)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firmados por la Argentina.</w:t>
      </w:r>
    </w:p>
    <w:p w:rsidR="00473E04" w:rsidRDefault="00473E04" w:rsidP="00291079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El recurso  pretende que la Corte de Justicia</w:t>
      </w:r>
      <w:r w:rsidR="00966431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,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para garantizar la transparencia y seguridad de las próximas elecciones, adopte</w:t>
      </w:r>
      <w:r w:rsidR="00966431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medidas concretas referidas al código fuente, al recuento manual de votos, al escrutinio provisorio, al papel de los fiscales</w:t>
      </w:r>
      <w:r w:rsidR="005D275C">
        <w:rPr>
          <w:rFonts w:asciiTheme="majorHAnsi" w:hAnsiTheme="majorHAnsi" w:cs="Arial"/>
          <w:color w:val="222222"/>
          <w:sz w:val="24"/>
          <w:szCs w:val="24"/>
          <w:lang w:eastAsia="es-AR"/>
        </w:rPr>
        <w:t>,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</w:t>
      </w:r>
      <w:r w:rsidR="00966431">
        <w:rPr>
          <w:rFonts w:asciiTheme="majorHAnsi" w:hAnsiTheme="majorHAnsi" w:cs="Arial"/>
          <w:color w:val="222222"/>
          <w:sz w:val="24"/>
          <w:szCs w:val="24"/>
          <w:lang w:eastAsia="es-AR"/>
        </w:rPr>
        <w:t>y a la</w:t>
      </w:r>
      <w:r w:rsidR="005D275C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seguridad de la</w:t>
      </w:r>
      <w:r w:rsidR="00966431">
        <w:rPr>
          <w:rFonts w:asciiTheme="majorHAnsi" w:hAnsiTheme="majorHAnsi" w:cs="Arial"/>
          <w:color w:val="222222"/>
          <w:sz w:val="24"/>
          <w:szCs w:val="24"/>
          <w:lang w:eastAsia="es-AR"/>
        </w:rPr>
        <w:t>s máquinas de votar, contar y transmitir datos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.</w:t>
      </w:r>
    </w:p>
    <w:p w:rsidR="00EE4CBE" w:rsidRPr="00EE4CBE" w:rsidRDefault="00EE4CBE" w:rsidP="00291079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b/>
          <w:color w:val="222222"/>
          <w:sz w:val="24"/>
          <w:szCs w:val="24"/>
          <w:lang w:eastAsia="es-AR"/>
        </w:rPr>
      </w:pPr>
      <w:r w:rsidRPr="00EE4CBE">
        <w:rPr>
          <w:rFonts w:asciiTheme="majorHAnsi" w:hAnsiTheme="majorHAnsi" w:cs="Arial"/>
          <w:b/>
          <w:color w:val="222222"/>
          <w:sz w:val="24"/>
          <w:szCs w:val="24"/>
          <w:lang w:eastAsia="es-AR"/>
        </w:rPr>
        <w:t>2.- Agravios que expresa el recurrente</w:t>
      </w:r>
    </w:p>
    <w:p w:rsidR="00966431" w:rsidRPr="00966431" w:rsidRDefault="00966431" w:rsidP="00966431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</w:pPr>
      <w:r w:rsidRPr="00966431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>2.</w:t>
      </w:r>
      <w:r w:rsidRPr="00966431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>1 El sistema de voto con boleta electrónica</w:t>
      </w:r>
    </w:p>
    <w:p w:rsidR="00B47463" w:rsidRDefault="00966431" w:rsidP="00966431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L</w:t>
      </w:r>
      <w:r w:rsidRPr="00966431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a Ley 7.730/12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cre</w:t>
      </w:r>
      <w:r w:rsidR="005D275C">
        <w:rPr>
          <w:rFonts w:asciiTheme="majorHAnsi" w:hAnsiTheme="majorHAnsi" w:cs="Arial"/>
          <w:color w:val="222222"/>
          <w:sz w:val="24"/>
          <w:szCs w:val="24"/>
          <w:lang w:eastAsia="es-AR"/>
        </w:rPr>
        <w:t>ó</w:t>
      </w:r>
      <w:r w:rsidRPr="00966431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un sistema mixto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de votación</w:t>
      </w:r>
      <w:r w:rsidR="005D275C">
        <w:rPr>
          <w:rFonts w:asciiTheme="majorHAnsi" w:hAnsiTheme="majorHAnsi" w:cs="Arial"/>
          <w:color w:val="222222"/>
          <w:sz w:val="24"/>
          <w:szCs w:val="24"/>
          <w:lang w:eastAsia="es-AR"/>
        </w:rPr>
        <w:t>, c</w:t>
      </w:r>
      <w:r w:rsidRPr="00966431">
        <w:rPr>
          <w:rFonts w:asciiTheme="majorHAnsi" w:hAnsiTheme="majorHAnsi" w:cs="Arial"/>
          <w:color w:val="222222"/>
          <w:sz w:val="24"/>
          <w:szCs w:val="24"/>
          <w:lang w:eastAsia="es-AR"/>
        </w:rPr>
        <w:t>on dos componentes: Uno informatizado y otro manual.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</w:t>
      </w:r>
    </w:p>
    <w:p w:rsidR="005D275C" w:rsidRDefault="00966431" w:rsidP="00966431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Para </w:t>
      </w:r>
      <w:r w:rsidR="005D275C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hacerlo compatible con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las previsiones constitucionales (referidas al carácter representativo y republicano de nuestra forma de gobierno, y al derecho al voto secreto, universal y seguro),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la Ley establec</w:t>
      </w:r>
      <w:r w:rsidR="005D275C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ió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auditorias informáticas y controles manuales que el Tribunal Electoral debe </w:t>
      </w:r>
      <w:r w:rsidR="005D275C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regular y efectuar con la participación de los partidos políticos. </w:t>
      </w:r>
    </w:p>
    <w:p w:rsidR="00966431" w:rsidRDefault="00966431" w:rsidP="00966431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En los asuntos que son materia de este recurso de inconstitucionalidad el Tribunal Electoral no </w:t>
      </w:r>
      <w:r w:rsidR="005D275C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cumplió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con su deber de “</w:t>
      </w:r>
      <w:r w:rsidRPr="00F240EC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 xml:space="preserve">disponer lo necesario para la </w:t>
      </w:r>
      <w:r w:rsidRPr="00F240EC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lastRenderedPageBreak/>
        <w:t>organización y funcionamiento de los comicios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” (</w:t>
      </w:r>
      <w:r w:rsidR="00B47463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CP,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artículo 58.1 </w:t>
      </w:r>
      <w:r w:rsidR="00B47463">
        <w:rPr>
          <w:rFonts w:asciiTheme="majorHAnsi" w:hAnsiTheme="majorHAnsi" w:cs="Arial"/>
          <w:color w:val="222222"/>
          <w:sz w:val="24"/>
          <w:szCs w:val="24"/>
          <w:lang w:eastAsia="es-AR"/>
        </w:rPr>
        <w:t>CP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)</w:t>
      </w:r>
      <w:r w:rsidR="005D275C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“</w:t>
      </w:r>
      <w:r w:rsidRPr="00F240EC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>con arreglo a esta Constitución y a la Ley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” (</w:t>
      </w:r>
      <w:r w:rsidR="00B47463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CP,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artículo 55 primer párrafo). </w:t>
      </w:r>
    </w:p>
    <w:p w:rsidR="005D275C" w:rsidRPr="005D275C" w:rsidRDefault="00966431" w:rsidP="00291079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</w:pPr>
      <w:r w:rsidRPr="005D275C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>2.</w:t>
      </w:r>
      <w:r w:rsidR="005D275C" w:rsidRPr="005D275C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>2</w:t>
      </w:r>
      <w:r w:rsidRPr="005D275C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 xml:space="preserve"> </w:t>
      </w:r>
      <w:r w:rsidR="005D275C" w:rsidRPr="005D275C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>Providencias y silencios inconstitucionales</w:t>
      </w:r>
    </w:p>
    <w:p w:rsidR="005D275C" w:rsidRDefault="005D275C" w:rsidP="00291079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E</w:t>
      </w:r>
      <w:r w:rsidR="00EE4CBE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l Tribunal Electoral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incumplió las leyes electorales y amenaza la seguridad, transparencia y veracidad de las próximas elecciones del 17 de mayo. </w:t>
      </w:r>
    </w:p>
    <w:p w:rsidR="005D275C" w:rsidRDefault="005D275C" w:rsidP="00291079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Al hacerlo, desconoce </w:t>
      </w:r>
      <w:r w:rsidR="00EE4CBE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derechos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constitucionales </w:t>
      </w:r>
      <w:r w:rsidR="00EE4CBE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de los </w:t>
      </w:r>
      <w:r w:rsidR="00966431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votantes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y </w:t>
      </w:r>
      <w:r w:rsidR="00EE4CBE">
        <w:rPr>
          <w:rFonts w:asciiTheme="majorHAnsi" w:hAnsiTheme="majorHAnsi" w:cs="Arial"/>
          <w:color w:val="222222"/>
          <w:sz w:val="24"/>
          <w:szCs w:val="24"/>
          <w:lang w:eastAsia="es-AR"/>
        </w:rPr>
        <w:t>de las fuerzas políticas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.</w:t>
      </w:r>
    </w:p>
    <w:p w:rsidR="00291079" w:rsidRPr="00291079" w:rsidRDefault="005D275C" w:rsidP="00291079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E</w:t>
      </w:r>
      <w:r w:rsidR="00966431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l recurso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ante la Corte </w:t>
      </w:r>
      <w:r w:rsidR="00966431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expresa agravios estrictamente jurídicos referidos a: </w:t>
      </w:r>
    </w:p>
    <w:p w:rsidR="00EE4CBE" w:rsidRPr="00291079" w:rsidRDefault="00291079" w:rsidP="00291079">
      <w:pPr>
        <w:pStyle w:val="Prrafode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 w:rsidRPr="00291079">
        <w:rPr>
          <w:rFonts w:asciiTheme="majorHAnsi" w:hAnsiTheme="majorHAnsi" w:cs="Arial"/>
          <w:color w:val="222222"/>
          <w:sz w:val="24"/>
          <w:szCs w:val="24"/>
          <w:lang w:eastAsia="es-AR"/>
        </w:rPr>
        <w:t>N</w:t>
      </w:r>
      <w:r w:rsidR="00EE4CBE" w:rsidRPr="00291079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egativa del Tribunal Electoral a facilitar el acceso al código fuente </w:t>
      </w:r>
    </w:p>
    <w:p w:rsidR="00EE4CBE" w:rsidRPr="00291079" w:rsidRDefault="00291079" w:rsidP="00291079">
      <w:pPr>
        <w:pStyle w:val="Prrafode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 w:rsidRPr="00291079">
        <w:rPr>
          <w:rFonts w:asciiTheme="majorHAnsi" w:hAnsiTheme="majorHAnsi" w:cs="Arial"/>
          <w:color w:val="222222"/>
          <w:sz w:val="24"/>
          <w:szCs w:val="24"/>
          <w:lang w:eastAsia="es-AR"/>
        </w:rPr>
        <w:t>D</w:t>
      </w:r>
      <w:r w:rsidR="00EE4CBE" w:rsidRPr="00291079">
        <w:rPr>
          <w:rFonts w:asciiTheme="majorHAnsi" w:hAnsiTheme="majorHAnsi" w:cs="Arial"/>
          <w:color w:val="222222"/>
          <w:sz w:val="24"/>
          <w:szCs w:val="24"/>
          <w:lang w:eastAsia="es-AR"/>
        </w:rPr>
        <w:t>esactivación del recuento manual de votos</w:t>
      </w:r>
    </w:p>
    <w:p w:rsidR="00EE4CBE" w:rsidRPr="00291079" w:rsidRDefault="00291079" w:rsidP="00291079">
      <w:pPr>
        <w:pStyle w:val="Prrafode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 w:rsidRPr="00291079">
        <w:rPr>
          <w:rFonts w:asciiTheme="majorHAnsi" w:hAnsiTheme="majorHAnsi" w:cs="Arial"/>
          <w:color w:val="222222"/>
          <w:sz w:val="24"/>
          <w:szCs w:val="24"/>
          <w:lang w:eastAsia="es-AR"/>
        </w:rPr>
        <w:t>R</w:t>
      </w:r>
      <w:r w:rsidR="00EE4CBE" w:rsidRPr="00291079">
        <w:rPr>
          <w:rFonts w:asciiTheme="majorHAnsi" w:hAnsiTheme="majorHAnsi" w:cs="Arial"/>
          <w:color w:val="222222"/>
          <w:sz w:val="24"/>
          <w:szCs w:val="24"/>
          <w:lang w:eastAsia="es-AR"/>
        </w:rPr>
        <w:t>educción de las facultades de control de los fiscales</w:t>
      </w:r>
    </w:p>
    <w:p w:rsidR="00EE4CBE" w:rsidRPr="00291079" w:rsidRDefault="00291079" w:rsidP="00291079">
      <w:pPr>
        <w:pStyle w:val="Prrafode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 w:rsidRPr="00291079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Ausencia </w:t>
      </w:r>
      <w:r w:rsidR="00EE4CBE" w:rsidRPr="00291079">
        <w:rPr>
          <w:rFonts w:asciiTheme="majorHAnsi" w:hAnsiTheme="majorHAnsi" w:cs="Arial"/>
          <w:color w:val="222222"/>
          <w:sz w:val="24"/>
          <w:szCs w:val="24"/>
          <w:lang w:eastAsia="es-AR"/>
        </w:rPr>
        <w:t>de reglas que garanticen la veracidad y transparencia del escrutinio provisorio informatizado</w:t>
      </w:r>
    </w:p>
    <w:p w:rsidR="00966431" w:rsidRDefault="00291079" w:rsidP="00966431">
      <w:pPr>
        <w:pStyle w:val="Prrafode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 w:rsidRPr="00291079">
        <w:rPr>
          <w:rFonts w:asciiTheme="majorHAnsi" w:hAnsiTheme="majorHAnsi" w:cs="Arial"/>
          <w:color w:val="222222"/>
          <w:sz w:val="24"/>
          <w:szCs w:val="24"/>
          <w:lang w:eastAsia="es-AR"/>
        </w:rPr>
        <w:t>P</w:t>
      </w:r>
      <w:r w:rsidR="00EE4CBE" w:rsidRPr="00291079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rivatización sin control de la logística del proceso electoral.  </w:t>
      </w:r>
      <w:r w:rsidR="00382E21" w:rsidRPr="00291079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  </w:t>
      </w:r>
    </w:p>
    <w:p w:rsidR="00832AD0" w:rsidRPr="00832AD0" w:rsidRDefault="005D275C" w:rsidP="00966431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 xml:space="preserve">2.3 </w:t>
      </w:r>
      <w:r w:rsidR="00832AD0" w:rsidRPr="00832AD0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>Acceso al código fuente</w:t>
      </w:r>
    </w:p>
    <w:p w:rsidR="005D275C" w:rsidRDefault="005D275C" w:rsidP="005D275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El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artículo 12, inciso b) de la Ley 7.730/12</w:t>
      </w:r>
      <w:r w:rsidR="00071708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establece que el Tribunal Electoral debe garantizar “</w:t>
      </w:r>
      <w:r w:rsidR="00071708" w:rsidRPr="00071708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>que las fuerzas políticas intervinientes pueda controlar y fiscalizar la elección en sus diversas etapas incluyendo la posibilidad real y concreta de conocer y auditar cómo funciona el sistema de voto con boleta electrónica y su código fuente</w:t>
      </w:r>
      <w:r w:rsidR="00071708">
        <w:rPr>
          <w:rFonts w:asciiTheme="majorHAnsi" w:hAnsiTheme="majorHAnsi" w:cs="Arial"/>
          <w:color w:val="222222"/>
          <w:sz w:val="24"/>
          <w:szCs w:val="24"/>
          <w:lang w:eastAsia="es-AR"/>
        </w:rPr>
        <w:t>”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.</w:t>
      </w:r>
    </w:p>
    <w:p w:rsidR="00071708" w:rsidRDefault="00071708" w:rsidP="005D275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Pese a reiterados pedidos, el Tribunal negó el </w:t>
      </w:r>
      <w:r w:rsidR="00F240EC">
        <w:rPr>
          <w:rFonts w:asciiTheme="majorHAnsi" w:hAnsiTheme="majorHAnsi" w:cs="Arial"/>
          <w:color w:val="222222"/>
          <w:sz w:val="24"/>
          <w:szCs w:val="24"/>
          <w:lang w:eastAsia="es-AR"/>
        </w:rPr>
        <w:t>acceso al código fuente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. De esta forma impidió que las fuerzas políticas controlaran </w:t>
      </w:r>
      <w:r w:rsidR="00F240EC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el núcleo del </w:t>
      </w:r>
      <w:r w:rsidR="00F240EC" w:rsidRPr="00382E21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>segmento informatizado</w:t>
      </w:r>
      <w:r w:rsidR="00F240EC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del </w:t>
      </w:r>
      <w:r w:rsidR="00832AD0">
        <w:rPr>
          <w:rFonts w:asciiTheme="majorHAnsi" w:hAnsiTheme="majorHAnsi" w:cs="Arial"/>
          <w:color w:val="222222"/>
          <w:sz w:val="24"/>
          <w:szCs w:val="24"/>
          <w:lang w:eastAsia="es-AR"/>
        </w:rPr>
        <w:t>sistema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.</w:t>
      </w:r>
    </w:p>
    <w:p w:rsidR="00832AD0" w:rsidRDefault="00071708" w:rsidP="005D275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Esta </w:t>
      </w:r>
      <w:r w:rsidR="00832AD0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negativa del Tribunal </w:t>
      </w:r>
      <w:r w:rsidR="00B47463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es </w:t>
      </w:r>
      <w:r w:rsidR="00832AD0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contraria a las normas que garantizan el derecho al voto secreto, universal,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libre y </w:t>
      </w:r>
      <w:r w:rsidR="00832AD0">
        <w:rPr>
          <w:rFonts w:asciiTheme="majorHAnsi" w:hAnsiTheme="majorHAnsi" w:cs="Arial"/>
          <w:color w:val="222222"/>
          <w:sz w:val="24"/>
          <w:szCs w:val="24"/>
          <w:lang w:eastAsia="es-AR"/>
        </w:rPr>
        <w:t>seguro.</w:t>
      </w:r>
    </w:p>
    <w:p w:rsidR="00071708" w:rsidRDefault="00071708" w:rsidP="005D275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La audiencia convocada para una auditoria a realizar por técnicos de la UNSA</w:t>
      </w:r>
      <w:r w:rsidR="00B47463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se encuadra dentro del artículo 21 de la Ley 7.730/12 y no reemplaza el control autónomo de las fuerzas políticas (artículo 12, b).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</w:t>
      </w:r>
    </w:p>
    <w:p w:rsidR="00832AD0" w:rsidRPr="00832AD0" w:rsidRDefault="00B47463" w:rsidP="00B47463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lastRenderedPageBreak/>
        <w:t xml:space="preserve">2.4 </w:t>
      </w:r>
      <w:r w:rsidR="00832AD0" w:rsidRPr="00832AD0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>Recuento de votos en la mesa</w:t>
      </w:r>
      <w:r w:rsidR="00253522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 xml:space="preserve"> y papel de los fiscales</w:t>
      </w:r>
    </w:p>
    <w:p w:rsidR="00B47463" w:rsidRDefault="00B47463" w:rsidP="00B47463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El Tribunal Electoral, a través del “</w:t>
      </w:r>
      <w:r w:rsidRPr="00177B3C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>Manual para Autoridades de Mesa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”,  eliminó </w:t>
      </w:r>
      <w:r w:rsidR="00832AD0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el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recuento </w:t>
      </w:r>
      <w:r w:rsidR="00832AD0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manual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privilegiando </w:t>
      </w:r>
      <w:r w:rsidR="00832AD0">
        <w:rPr>
          <w:rFonts w:asciiTheme="majorHAnsi" w:hAnsiTheme="majorHAnsi" w:cs="Arial"/>
          <w:color w:val="222222"/>
          <w:sz w:val="24"/>
          <w:szCs w:val="24"/>
          <w:lang w:eastAsia="es-AR"/>
        </w:rPr>
        <w:t>el conteo informático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. </w:t>
      </w:r>
    </w:p>
    <w:p w:rsidR="00832AD0" w:rsidRDefault="00B47463" w:rsidP="00B47463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Por lo tanto</w:t>
      </w:r>
      <w:r w:rsidR="00832AD0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,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incumplió </w:t>
      </w:r>
      <w:r w:rsidR="00832AD0">
        <w:rPr>
          <w:rFonts w:asciiTheme="majorHAnsi" w:hAnsiTheme="majorHAnsi" w:cs="Arial"/>
          <w:color w:val="222222"/>
          <w:sz w:val="24"/>
          <w:szCs w:val="24"/>
          <w:lang w:eastAsia="es-AR"/>
        </w:rPr>
        <w:t>el Código Electoral Provincial (Ley 6.444/87, artículos 95.1, 96 segundo párrafo, y 97 in fine), y la Ley 7.730/12 (artículo 11).</w:t>
      </w:r>
    </w:p>
    <w:p w:rsidR="00177B3C" w:rsidRDefault="00177B3C" w:rsidP="00B47463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Según el Tribunal Electoral, los fiscales han de limitarse a “mirar” la tarjeta con el voto que le “exhibe” el presidente de la mesa. Pero no puede llevar un recuento manual validado por el presidente de mesa.</w:t>
      </w:r>
    </w:p>
    <w:p w:rsidR="00177B3C" w:rsidRDefault="00253522" w:rsidP="00177B3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Los derechos de control del fiscal (recogidos en el Código Electoral Provincial) han sido severamente menguados por el </w:t>
      </w:r>
      <w:r w:rsidR="00177B3C">
        <w:rPr>
          <w:rFonts w:asciiTheme="majorHAnsi" w:hAnsiTheme="majorHAnsi" w:cs="Arial"/>
          <w:color w:val="222222"/>
          <w:sz w:val="24"/>
          <w:szCs w:val="24"/>
          <w:lang w:eastAsia="es-AR"/>
        </w:rPr>
        <w:t>“</w:t>
      </w:r>
      <w:r w:rsidR="00177B3C" w:rsidRPr="00177B3C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>Manual para Autoridades de Mesa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”. </w:t>
      </w:r>
    </w:p>
    <w:p w:rsidR="00177B3C" w:rsidRDefault="00177B3C" w:rsidP="00177B3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Esta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s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“instrucciones”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del Tribunal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son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contraria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s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a las normas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del bloque constitucional federal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que garantizan el derecho al voto secreto, universal, libre y </w:t>
      </w:r>
      <w:r w:rsidR="00BB5DD9">
        <w:rPr>
          <w:rFonts w:asciiTheme="majorHAnsi" w:hAnsiTheme="majorHAnsi" w:cs="Arial"/>
          <w:color w:val="222222"/>
          <w:sz w:val="24"/>
          <w:szCs w:val="24"/>
          <w:lang w:eastAsia="es-AR"/>
        </w:rPr>
        <w:t>seguro, y estatuyen el rango institucional de los partidos políticos.</w:t>
      </w:r>
    </w:p>
    <w:p w:rsidR="00382E21" w:rsidRDefault="00177B3C" w:rsidP="00177B3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 xml:space="preserve">2.4 </w:t>
      </w:r>
      <w:r w:rsidR="00253522" w:rsidRPr="00253522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>Escrutinio provisorio</w:t>
      </w:r>
    </w:p>
    <w:p w:rsidR="00177B3C" w:rsidRDefault="00177B3C" w:rsidP="00177B3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El Tribunal Electoral, sin sustento suficiente en las leyes vigentes, decidió informatizar íntegramente el escrutinio provisorio.</w:t>
      </w:r>
    </w:p>
    <w:p w:rsidR="00177B3C" w:rsidRDefault="00177B3C" w:rsidP="00177B3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Lo hizo sin rodear al acto de las </w:t>
      </w:r>
      <w:r w:rsidR="00382E21" w:rsidRPr="00382E21">
        <w:rPr>
          <w:rFonts w:asciiTheme="majorHAnsi" w:hAnsiTheme="majorHAnsi" w:cs="Arial"/>
          <w:color w:val="222222"/>
          <w:sz w:val="24"/>
          <w:szCs w:val="24"/>
          <w:lang w:eastAsia="es-AR"/>
        </w:rPr>
        <w:t>garantías imprescindibles.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Las fuerzas políticas desconocen los protocolos de seguridad para la transmisión de datos desde la Mesa al centro de cómputos. </w:t>
      </w:r>
    </w:p>
    <w:p w:rsidR="00177B3C" w:rsidRDefault="00177B3C" w:rsidP="00177B3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El Tribunal eliminó, junto con el recuento manual, las Actas manuales que deben servir para controlar las operaciones informáticas. </w:t>
      </w:r>
      <w:r w:rsidR="00382E21" w:rsidRPr="00382E21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</w:t>
      </w:r>
    </w:p>
    <w:p w:rsidR="002E741C" w:rsidRDefault="002E741C" w:rsidP="00177B3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>2.5 Secreto del voto</w:t>
      </w:r>
    </w:p>
    <w:p w:rsidR="002E741C" w:rsidRDefault="002E741C" w:rsidP="00177B3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 w:rsidRPr="002E741C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El Tribunal no adoptó </w:t>
      </w:r>
      <w:r w:rsidR="00BB5DD9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medidas </w:t>
      </w:r>
      <w:r w:rsidRPr="002E741C">
        <w:rPr>
          <w:rFonts w:asciiTheme="majorHAnsi" w:hAnsiTheme="majorHAnsi" w:cs="Arial"/>
          <w:color w:val="222222"/>
          <w:sz w:val="24"/>
          <w:szCs w:val="24"/>
          <w:lang w:eastAsia="es-AR"/>
        </w:rPr>
        <w:t>para reemplazar el “cuarto oscuro” por u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n</w:t>
      </w:r>
      <w:r w:rsidRPr="002E741C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recinto adecuado. Tampoco reguló la asiste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ncia a personas que la reclamen para votar, ni adoptó recaudos para evitar que el voto pueda ser “leído” por terceros a distancia.</w:t>
      </w:r>
    </w:p>
    <w:p w:rsidR="002E741C" w:rsidRDefault="002E741C" w:rsidP="00177B3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</w:pPr>
      <w:r w:rsidRPr="002E741C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 xml:space="preserve">2.6 Voto universal </w:t>
      </w:r>
    </w:p>
    <w:p w:rsidR="002E741C" w:rsidRDefault="002E741C" w:rsidP="00177B3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lastRenderedPageBreak/>
        <w:t xml:space="preserve">El </w:t>
      </w:r>
      <w:r w:rsidRPr="002E741C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>sistema de voto con boleta informática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constituye una barrera para miles de salteños que no asisten a votar o votan forzadamente en blanco. </w:t>
      </w:r>
    </w:p>
    <w:p w:rsidR="002E741C" w:rsidRPr="002E741C" w:rsidRDefault="002E741C" w:rsidP="00177B3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El Tribunal pudo </w:t>
      </w:r>
      <w:r w:rsidR="00FD143D">
        <w:rPr>
          <w:rFonts w:asciiTheme="majorHAnsi" w:hAnsiTheme="majorHAnsi" w:cs="Arial"/>
          <w:color w:val="222222"/>
          <w:sz w:val="24"/>
          <w:szCs w:val="24"/>
          <w:lang w:eastAsia="es-AR"/>
        </w:rPr>
        <w:t>habilitar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mesas </w:t>
      </w:r>
      <w:r w:rsidR="00FD143D">
        <w:rPr>
          <w:rFonts w:asciiTheme="majorHAnsi" w:hAnsiTheme="majorHAnsi" w:cs="Arial"/>
          <w:color w:val="222222"/>
          <w:sz w:val="24"/>
          <w:szCs w:val="24"/>
          <w:lang w:eastAsia="es-AR"/>
        </w:rPr>
        <w:t>en donde se vote con el sistema tradicional (artículo 34 de la Ley 7.697/11) y no lo hizo.</w:t>
      </w:r>
    </w:p>
    <w:p w:rsidR="00382E21" w:rsidRDefault="002E741C" w:rsidP="00177B3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 xml:space="preserve">2.7 </w:t>
      </w:r>
      <w:r w:rsidR="00382E21" w:rsidRPr="00253522"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  <w:t>Logística del acto electoral</w:t>
      </w:r>
    </w:p>
    <w:p w:rsidR="002E741C" w:rsidRDefault="00382E21" w:rsidP="00382E21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 w:rsidRPr="002E741C">
        <w:rPr>
          <w:rFonts w:asciiTheme="majorHAnsi" w:hAnsiTheme="majorHAnsi" w:cs="Arial"/>
          <w:color w:val="222222"/>
          <w:sz w:val="24"/>
          <w:szCs w:val="24"/>
          <w:lang w:eastAsia="es-AR"/>
        </w:rPr>
        <w:t>Los principales aspectos de la</w:t>
      </w:r>
      <w:r w:rsidR="002E741C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</w:t>
      </w:r>
      <w:r w:rsidR="002E741C" w:rsidRPr="002E741C">
        <w:rPr>
          <w:rFonts w:asciiTheme="majorHAnsi" w:hAnsiTheme="majorHAnsi" w:cs="Arial"/>
          <w:color w:val="222222"/>
          <w:sz w:val="24"/>
          <w:szCs w:val="24"/>
          <w:lang w:eastAsia="es-AR"/>
        </w:rPr>
        <w:t>logística</w:t>
      </w:r>
      <w:r w:rsidRPr="002E741C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electoral </w:t>
      </w:r>
      <w:r w:rsidR="002E741C">
        <w:rPr>
          <w:rFonts w:asciiTheme="majorHAnsi" w:hAnsiTheme="majorHAnsi" w:cs="Arial"/>
          <w:color w:val="222222"/>
          <w:sz w:val="24"/>
          <w:szCs w:val="24"/>
          <w:lang w:eastAsia="es-AR"/>
        </w:rPr>
        <w:t>(</w:t>
      </w:r>
      <w:r w:rsidR="002E741C" w:rsidRPr="003F08FA">
        <w:rPr>
          <w:rFonts w:ascii="Cambria" w:hAnsi="Cambria" w:cs="Arial"/>
          <w:color w:val="222222"/>
          <w:sz w:val="24"/>
          <w:szCs w:val="24"/>
          <w:lang w:eastAsia="es-AR"/>
        </w:rPr>
        <w:t>máquinas de votar, redes de conexión y de transmisión de datos, impresoras, soportes conteniendo el programa que “mueve” el sistema, asistencia técnica en las mesas, traslado y reemplazo de elementos</w:t>
      </w:r>
      <w:r w:rsidR="002E741C">
        <w:rPr>
          <w:rFonts w:ascii="Cambria" w:hAnsi="Cambria" w:cs="Arial"/>
          <w:color w:val="222222"/>
          <w:sz w:val="24"/>
          <w:szCs w:val="24"/>
          <w:lang w:eastAsia="es-AR"/>
        </w:rPr>
        <w:t xml:space="preserve">) </w:t>
      </w:r>
      <w:r w:rsidRPr="002E741C">
        <w:rPr>
          <w:rFonts w:asciiTheme="majorHAnsi" w:hAnsiTheme="majorHAnsi" w:cs="Arial"/>
          <w:color w:val="222222"/>
          <w:sz w:val="24"/>
          <w:szCs w:val="24"/>
          <w:lang w:eastAsia="es-AR"/>
        </w:rPr>
        <w:t>han sido puestos en manos de empresas privadas.</w:t>
      </w:r>
    </w:p>
    <w:p w:rsidR="002E741C" w:rsidRDefault="002E741C" w:rsidP="002E741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Lo hizo </w:t>
      </w:r>
      <w:r w:rsidR="00BB5DD9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el Tribunal Electoral </w:t>
      </w:r>
      <w:r w:rsidR="00382E21" w:rsidRPr="003F08FA">
        <w:rPr>
          <w:rFonts w:ascii="Cambria" w:hAnsi="Cambria" w:cs="Arial"/>
          <w:color w:val="222222"/>
          <w:sz w:val="24"/>
          <w:szCs w:val="24"/>
          <w:lang w:eastAsia="es-AR"/>
        </w:rPr>
        <w:t>sin tomar  recaudos mínimos esenciales para la pureza del comicio.</w:t>
      </w:r>
      <w:r w:rsidRPr="002E741C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>Los técnicos informáticos (vitales para la regularidad y normalidad del proceso) pertenecen a la empresa MAGIC SFTWARE AGENTINA SA, sin que las fuerzas políticas puedan conocer su identidad e idoneidad.</w:t>
      </w:r>
    </w:p>
    <w:p w:rsidR="00FD143D" w:rsidRDefault="00FD143D" w:rsidP="002E741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b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b/>
          <w:color w:val="222222"/>
          <w:sz w:val="24"/>
          <w:szCs w:val="24"/>
          <w:lang w:eastAsia="es-AR"/>
        </w:rPr>
        <w:t>3.- Principal fundamento jurídico</w:t>
      </w:r>
    </w:p>
    <w:p w:rsidR="00BB5DD9" w:rsidRDefault="00FD143D" w:rsidP="00FD143D">
      <w:pPr>
        <w:shd w:val="clear" w:color="auto" w:fill="FFFFFF"/>
        <w:spacing w:after="120" w:line="360" w:lineRule="auto"/>
        <w:jc w:val="both"/>
        <w:rPr>
          <w:rFonts w:ascii="Cambria" w:hAnsi="Cambria" w:cs="Arial"/>
          <w:color w:val="222222"/>
          <w:sz w:val="24"/>
          <w:szCs w:val="24"/>
          <w:lang w:eastAsia="es-AR"/>
        </w:rPr>
      </w:pPr>
      <w:r>
        <w:rPr>
          <w:rFonts w:ascii="Cambria" w:hAnsi="Cambria" w:cs="Arial"/>
          <w:color w:val="222222"/>
          <w:sz w:val="24"/>
          <w:szCs w:val="24"/>
          <w:lang w:eastAsia="es-AR"/>
        </w:rPr>
        <w:t>Los actos y omisiones del Tribunal Electoral</w:t>
      </w:r>
      <w:r w:rsidR="00BB5DD9">
        <w:rPr>
          <w:rFonts w:ascii="Cambria" w:hAnsi="Cambria" w:cs="Arial"/>
          <w:color w:val="222222"/>
          <w:sz w:val="24"/>
          <w:szCs w:val="24"/>
          <w:lang w:eastAsia="es-AR"/>
        </w:rPr>
        <w:t xml:space="preserve">: </w:t>
      </w:r>
    </w:p>
    <w:p w:rsidR="00BB5DD9" w:rsidRDefault="00BB5DD9" w:rsidP="00FD143D">
      <w:pPr>
        <w:shd w:val="clear" w:color="auto" w:fill="FFFFFF"/>
        <w:spacing w:after="120" w:line="360" w:lineRule="auto"/>
        <w:jc w:val="both"/>
        <w:rPr>
          <w:rFonts w:ascii="Cambria" w:hAnsi="Cambria" w:cs="Arial"/>
          <w:color w:val="222222"/>
          <w:sz w:val="24"/>
          <w:szCs w:val="24"/>
          <w:lang w:eastAsia="es-AR"/>
        </w:rPr>
      </w:pPr>
      <w:r>
        <w:rPr>
          <w:rFonts w:ascii="Cambria" w:hAnsi="Cambria" w:cs="Arial"/>
          <w:color w:val="222222"/>
          <w:sz w:val="24"/>
          <w:szCs w:val="24"/>
          <w:lang w:eastAsia="es-AR"/>
        </w:rPr>
        <w:t>a) D</w:t>
      </w:r>
      <w:r w:rsidR="00FD143D">
        <w:rPr>
          <w:rFonts w:ascii="Cambria" w:hAnsi="Cambria" w:cs="Arial"/>
          <w:color w:val="222222"/>
          <w:sz w:val="24"/>
          <w:szCs w:val="24"/>
          <w:lang w:eastAsia="es-AR"/>
        </w:rPr>
        <w:t xml:space="preserve">esconocen principios constitucionales y normas legales, poniendo </w:t>
      </w:r>
      <w:r>
        <w:rPr>
          <w:rFonts w:ascii="Cambria" w:hAnsi="Cambria" w:cs="Arial"/>
          <w:color w:val="222222"/>
          <w:sz w:val="24"/>
          <w:szCs w:val="24"/>
          <w:lang w:eastAsia="es-AR"/>
        </w:rPr>
        <w:t xml:space="preserve">en riesgo </w:t>
      </w:r>
      <w:r w:rsidR="00FD143D">
        <w:rPr>
          <w:rFonts w:ascii="Cambria" w:hAnsi="Cambria" w:cs="Arial"/>
          <w:color w:val="222222"/>
          <w:sz w:val="24"/>
          <w:szCs w:val="24"/>
          <w:lang w:eastAsia="es-AR"/>
        </w:rPr>
        <w:t>los cimientos del régimen representativo y republicano</w:t>
      </w:r>
      <w:r>
        <w:rPr>
          <w:rFonts w:ascii="Cambria" w:hAnsi="Cambria" w:cs="Arial"/>
          <w:color w:val="222222"/>
          <w:sz w:val="24"/>
          <w:szCs w:val="24"/>
          <w:lang w:eastAsia="es-AR"/>
        </w:rPr>
        <w:t xml:space="preserve">; </w:t>
      </w:r>
    </w:p>
    <w:p w:rsidR="00FD143D" w:rsidRDefault="00BB5DD9" w:rsidP="00FD143D">
      <w:pPr>
        <w:shd w:val="clear" w:color="auto" w:fill="FFFFFF"/>
        <w:spacing w:after="120" w:line="360" w:lineRule="auto"/>
        <w:jc w:val="both"/>
        <w:rPr>
          <w:rFonts w:ascii="Cambria" w:hAnsi="Cambria" w:cs="Arial"/>
          <w:color w:val="222222"/>
          <w:sz w:val="24"/>
          <w:szCs w:val="24"/>
          <w:lang w:eastAsia="es-AR"/>
        </w:rPr>
      </w:pPr>
      <w:r>
        <w:rPr>
          <w:rFonts w:ascii="Cambria" w:hAnsi="Cambria" w:cs="Arial"/>
          <w:color w:val="222222"/>
          <w:sz w:val="24"/>
          <w:szCs w:val="24"/>
          <w:lang w:eastAsia="es-AR"/>
        </w:rPr>
        <w:t>b) Afectan garantías que hacen a</w:t>
      </w:r>
      <w:r w:rsidR="00FD143D">
        <w:rPr>
          <w:rFonts w:ascii="Cambria" w:hAnsi="Cambria" w:cs="Arial"/>
          <w:color w:val="222222"/>
          <w:sz w:val="24"/>
          <w:szCs w:val="24"/>
          <w:lang w:eastAsia="es-AR"/>
        </w:rPr>
        <w:t xml:space="preserve">l </w:t>
      </w:r>
      <w:r w:rsidR="00FD143D" w:rsidRPr="00862551">
        <w:rPr>
          <w:rFonts w:ascii="Cambria" w:hAnsi="Cambria" w:cs="Arial"/>
          <w:i/>
          <w:color w:val="222222"/>
          <w:sz w:val="24"/>
          <w:szCs w:val="24"/>
          <w:lang w:eastAsia="es-AR"/>
        </w:rPr>
        <w:t xml:space="preserve">contenido esencial </w:t>
      </w:r>
      <w:r w:rsidR="00FD143D">
        <w:rPr>
          <w:rFonts w:ascii="Cambria" w:hAnsi="Cambria" w:cs="Arial"/>
          <w:color w:val="222222"/>
          <w:sz w:val="24"/>
          <w:szCs w:val="24"/>
          <w:lang w:eastAsia="es-AR"/>
        </w:rPr>
        <w:t xml:space="preserve">del derecho democrático al voto universal y secreto, así como el derecho de cada elector -y de las fuerzas políticas que lo representan- a votar en libertad y con las garantías y formas que le permitan estar seguro del carácter secreto de su voto y de poder controlar que el mismo responde a sus particulares elecciones y de que es así recogido, sin alteraciones, en el recuento a pie de mesa, en el escrutinio provisorio y en el escrutinio final. </w:t>
      </w:r>
    </w:p>
    <w:p w:rsidR="002E741C" w:rsidRPr="00FD143D" w:rsidRDefault="00FD143D" w:rsidP="002E741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b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b/>
          <w:color w:val="222222"/>
          <w:sz w:val="24"/>
          <w:szCs w:val="24"/>
          <w:lang w:eastAsia="es-AR"/>
        </w:rPr>
        <w:t>4</w:t>
      </w:r>
      <w:r w:rsidRPr="00FD143D">
        <w:rPr>
          <w:rFonts w:asciiTheme="majorHAnsi" w:hAnsiTheme="majorHAnsi" w:cs="Arial"/>
          <w:b/>
          <w:color w:val="222222"/>
          <w:sz w:val="24"/>
          <w:szCs w:val="24"/>
          <w:lang w:eastAsia="es-AR"/>
        </w:rPr>
        <w:t>.- Derecho invocado</w:t>
      </w:r>
    </w:p>
    <w:p w:rsidR="00FD143D" w:rsidRDefault="00FD143D" w:rsidP="00FD143D">
      <w:pPr>
        <w:shd w:val="clear" w:color="auto" w:fill="FFFFFF"/>
        <w:spacing w:after="120" w:line="360" w:lineRule="auto"/>
        <w:jc w:val="both"/>
        <w:rPr>
          <w:rFonts w:ascii="Cambria" w:hAnsi="Cambria" w:cs="Arial"/>
          <w:color w:val="222222"/>
          <w:sz w:val="24"/>
          <w:szCs w:val="24"/>
          <w:lang w:eastAsia="es-AR"/>
        </w:rPr>
      </w:pPr>
      <w:r>
        <w:rPr>
          <w:rFonts w:ascii="Cambria" w:hAnsi="Cambria" w:cs="Arial"/>
          <w:color w:val="222222"/>
          <w:sz w:val="24"/>
          <w:szCs w:val="24"/>
          <w:lang w:eastAsia="es-AR"/>
        </w:rPr>
        <w:t>Constitución Nacional (Preámbulo, artículos 1°, 5, 18, 28, 33, 37, 38, 75 inciso 22, 116, 123</w:t>
      </w:r>
      <w:r>
        <w:rPr>
          <w:rFonts w:ascii="Cambria" w:hAnsi="Cambria" w:cs="Arial"/>
          <w:color w:val="222222"/>
          <w:sz w:val="24"/>
          <w:szCs w:val="24"/>
          <w:lang w:eastAsia="es-AR"/>
        </w:rPr>
        <w:t xml:space="preserve"> y concordantes).</w:t>
      </w:r>
    </w:p>
    <w:p w:rsidR="00FD143D" w:rsidRDefault="00FD143D" w:rsidP="00FD143D">
      <w:pPr>
        <w:shd w:val="clear" w:color="auto" w:fill="FFFFFF"/>
        <w:spacing w:after="120" w:line="360" w:lineRule="auto"/>
        <w:jc w:val="both"/>
        <w:rPr>
          <w:rFonts w:ascii="Cambria" w:hAnsi="Cambria" w:cs="Arial"/>
          <w:color w:val="222222"/>
          <w:sz w:val="24"/>
          <w:szCs w:val="24"/>
          <w:lang w:eastAsia="es-AR"/>
        </w:rPr>
      </w:pPr>
      <w:r w:rsidRPr="00F746D7">
        <w:rPr>
          <w:rFonts w:ascii="Cambria" w:hAnsi="Cambria" w:cs="Arial"/>
          <w:color w:val="222222"/>
          <w:sz w:val="24"/>
          <w:szCs w:val="24"/>
          <w:lang w:eastAsia="es-AR"/>
        </w:rPr>
        <w:lastRenderedPageBreak/>
        <w:t xml:space="preserve">Tratados Internacionales: </w:t>
      </w:r>
      <w:r w:rsidRPr="00F746D7">
        <w:rPr>
          <w:rFonts w:ascii="Cambria" w:eastAsia="Times New Roman" w:hAnsi="Cambria"/>
          <w:i/>
          <w:sz w:val="24"/>
          <w:szCs w:val="24"/>
          <w:lang w:eastAsia="es-AR"/>
        </w:rPr>
        <w:t>Declaración Universal de los Derechos Humanos</w:t>
      </w:r>
      <w:r w:rsidRPr="00F746D7">
        <w:rPr>
          <w:rFonts w:ascii="Cambria" w:eastAsia="Times New Roman" w:hAnsi="Cambria"/>
          <w:sz w:val="24"/>
          <w:szCs w:val="24"/>
          <w:lang w:eastAsia="es-AR"/>
        </w:rPr>
        <w:t xml:space="preserve"> (artículo 21, inciso 3); </w:t>
      </w:r>
      <w:r w:rsidRPr="00F746D7">
        <w:rPr>
          <w:rFonts w:ascii="Cambria" w:eastAsia="Times New Roman" w:hAnsi="Cambria"/>
          <w:i/>
          <w:sz w:val="24"/>
          <w:szCs w:val="24"/>
          <w:lang w:eastAsia="es-AR"/>
        </w:rPr>
        <w:t>Pacto de San José de Costa Rica</w:t>
      </w:r>
      <w:r w:rsidRPr="00F746D7">
        <w:rPr>
          <w:rFonts w:ascii="Cambria" w:eastAsia="Times New Roman" w:hAnsi="Cambria"/>
          <w:sz w:val="24"/>
          <w:szCs w:val="24"/>
          <w:lang w:eastAsia="es-AR"/>
        </w:rPr>
        <w:t xml:space="preserve"> (Artículo 23, inciso b)</w:t>
      </w:r>
      <w:r>
        <w:rPr>
          <w:rFonts w:ascii="Cambria" w:eastAsia="Times New Roman" w:hAnsi="Cambria"/>
          <w:sz w:val="24"/>
          <w:szCs w:val="24"/>
          <w:lang w:eastAsia="es-AR"/>
        </w:rPr>
        <w:t xml:space="preserve">, y </w:t>
      </w:r>
      <w:r w:rsidRPr="00F746D7">
        <w:rPr>
          <w:rFonts w:ascii="Cambria" w:eastAsia="Times New Roman" w:hAnsi="Cambria"/>
          <w:i/>
          <w:sz w:val="24"/>
          <w:szCs w:val="24"/>
          <w:lang w:eastAsia="es-AR"/>
        </w:rPr>
        <w:t xml:space="preserve"> Pacto Internacional de Derechos Civiles y Políticos</w:t>
      </w:r>
      <w:r w:rsidRPr="00F746D7">
        <w:rPr>
          <w:rFonts w:ascii="Cambria" w:eastAsia="Times New Roman" w:hAnsi="Cambria"/>
          <w:sz w:val="24"/>
          <w:szCs w:val="24"/>
          <w:lang w:eastAsia="es-AR"/>
        </w:rPr>
        <w:t xml:space="preserve"> (artículo 25 inciso b).</w:t>
      </w:r>
      <w:r>
        <w:rPr>
          <w:rFonts w:ascii="Cambria" w:hAnsi="Cambria" w:cs="Arial"/>
          <w:color w:val="222222"/>
          <w:sz w:val="24"/>
          <w:szCs w:val="24"/>
          <w:lang w:eastAsia="es-AR"/>
        </w:rPr>
        <w:t xml:space="preserve"> </w:t>
      </w:r>
    </w:p>
    <w:p w:rsidR="00FD143D" w:rsidRDefault="00FD143D" w:rsidP="00FD143D">
      <w:pPr>
        <w:shd w:val="clear" w:color="auto" w:fill="FFFFFF"/>
        <w:spacing w:after="120" w:line="360" w:lineRule="auto"/>
        <w:jc w:val="both"/>
        <w:rPr>
          <w:rFonts w:ascii="Cambria" w:hAnsi="Cambria" w:cs="Arial"/>
          <w:color w:val="222222"/>
          <w:sz w:val="24"/>
          <w:szCs w:val="24"/>
          <w:lang w:eastAsia="es-AR"/>
        </w:rPr>
      </w:pPr>
      <w:r>
        <w:rPr>
          <w:rFonts w:ascii="Cambria" w:hAnsi="Cambria" w:cs="Arial"/>
          <w:color w:val="222222"/>
          <w:sz w:val="24"/>
          <w:szCs w:val="24"/>
          <w:lang w:eastAsia="es-AR"/>
        </w:rPr>
        <w:t>Constitución de la Provincia de Salta (Preámbulo, artículos 1°, 18, 25, 53, 55, 56, 58, 153.III a, y concordantes)</w:t>
      </w:r>
      <w:r>
        <w:rPr>
          <w:rFonts w:ascii="Cambria" w:hAnsi="Cambria" w:cs="Arial"/>
          <w:color w:val="222222"/>
          <w:sz w:val="24"/>
          <w:szCs w:val="24"/>
          <w:lang w:eastAsia="es-AR"/>
        </w:rPr>
        <w:t>.</w:t>
      </w:r>
    </w:p>
    <w:p w:rsidR="00FD143D" w:rsidRDefault="00FD143D" w:rsidP="00FD143D">
      <w:pPr>
        <w:shd w:val="clear" w:color="auto" w:fill="FFFFFF"/>
        <w:spacing w:after="120" w:line="360" w:lineRule="auto"/>
        <w:jc w:val="both"/>
        <w:rPr>
          <w:rFonts w:ascii="Cambria" w:hAnsi="Cambria" w:cs="Arial"/>
          <w:color w:val="222222"/>
          <w:sz w:val="24"/>
          <w:szCs w:val="24"/>
          <w:lang w:eastAsia="es-AR"/>
        </w:rPr>
      </w:pPr>
      <w:r>
        <w:rPr>
          <w:rFonts w:ascii="Cambria" w:hAnsi="Cambria" w:cs="Arial"/>
          <w:color w:val="222222"/>
          <w:sz w:val="24"/>
          <w:szCs w:val="24"/>
          <w:lang w:eastAsia="es-AR"/>
        </w:rPr>
        <w:t>Leyes provinciales número 6.444/87 (Código Electoral Provincial), 7.697/11 (sobre voto electrónico en las PASO) y 7.730/12 (normas de control para el voto con boleta electrónica).</w:t>
      </w:r>
    </w:p>
    <w:p w:rsidR="00FD143D" w:rsidRDefault="00FD143D" w:rsidP="00FD143D">
      <w:pPr>
        <w:shd w:val="clear" w:color="auto" w:fill="FFFFFF"/>
        <w:spacing w:after="120" w:line="360" w:lineRule="auto"/>
        <w:jc w:val="both"/>
        <w:rPr>
          <w:rFonts w:ascii="Cambria" w:hAnsi="Cambria" w:cs="Arial"/>
          <w:b/>
          <w:color w:val="222222"/>
          <w:sz w:val="24"/>
          <w:szCs w:val="24"/>
          <w:lang w:eastAsia="es-AR"/>
        </w:rPr>
      </w:pPr>
      <w:r w:rsidRPr="00FD143D">
        <w:rPr>
          <w:rFonts w:ascii="Cambria" w:hAnsi="Cambria" w:cs="Arial"/>
          <w:b/>
          <w:color w:val="222222"/>
          <w:sz w:val="24"/>
          <w:szCs w:val="24"/>
          <w:lang w:eastAsia="es-AR"/>
        </w:rPr>
        <w:t>4. Trámite procesal</w:t>
      </w:r>
      <w:r w:rsidRPr="00FD143D">
        <w:rPr>
          <w:rFonts w:ascii="Cambria" w:hAnsi="Cambria" w:cs="Arial"/>
          <w:b/>
          <w:color w:val="222222"/>
          <w:sz w:val="24"/>
          <w:szCs w:val="24"/>
          <w:lang w:eastAsia="es-AR"/>
        </w:rPr>
        <w:t xml:space="preserve"> </w:t>
      </w:r>
    </w:p>
    <w:p w:rsidR="00FD143D" w:rsidRPr="00FD143D" w:rsidRDefault="00FD143D" w:rsidP="00FD143D">
      <w:pPr>
        <w:shd w:val="clear" w:color="auto" w:fill="FFFFFF"/>
        <w:spacing w:after="240" w:line="360" w:lineRule="auto"/>
        <w:jc w:val="both"/>
        <w:rPr>
          <w:rFonts w:ascii="Cambria" w:hAnsi="Cambria" w:cs="Arial"/>
          <w:color w:val="222222"/>
          <w:sz w:val="24"/>
          <w:szCs w:val="24"/>
          <w:lang w:eastAsia="es-AR"/>
        </w:rPr>
      </w:pPr>
      <w:r w:rsidRPr="00FD143D">
        <w:rPr>
          <w:rFonts w:ascii="Cambria" w:hAnsi="Cambria" w:cs="Arial"/>
          <w:color w:val="222222"/>
          <w:sz w:val="24"/>
          <w:szCs w:val="24"/>
          <w:lang w:eastAsia="es-AR"/>
        </w:rPr>
        <w:t>Los recurrentes piden a la E. Corte de Justicia de Salta que, siguiendo el criterio de la Co</w:t>
      </w:r>
      <w:r>
        <w:rPr>
          <w:rFonts w:ascii="Cambria" w:hAnsi="Cambria" w:cs="Arial"/>
          <w:color w:val="222222"/>
          <w:sz w:val="24"/>
          <w:szCs w:val="24"/>
          <w:lang w:eastAsia="es-AR"/>
        </w:rPr>
        <w:t>r</w:t>
      </w:r>
      <w:r w:rsidRPr="00FD143D">
        <w:rPr>
          <w:rFonts w:ascii="Cambria" w:hAnsi="Cambria" w:cs="Arial"/>
          <w:color w:val="222222"/>
          <w:sz w:val="24"/>
          <w:szCs w:val="24"/>
          <w:lang w:eastAsia="es-AR"/>
        </w:rPr>
        <w:t xml:space="preserve">te Suprema de Justicia de la Nación en el caso Santiago del Estero </w:t>
      </w:r>
      <w:r w:rsidRPr="003914E6">
        <w:rPr>
          <w:rFonts w:ascii="Cambria" w:hAnsi="Cambria" w:cs="Arial"/>
          <w:color w:val="222222"/>
          <w:sz w:val="24"/>
          <w:szCs w:val="24"/>
          <w:lang w:eastAsia="es-AR"/>
        </w:rPr>
        <w:t>(</w:t>
      </w:r>
      <w:r w:rsidRPr="003914E6">
        <w:rPr>
          <w:rFonts w:ascii="Cambria" w:hAnsi="Cambria"/>
          <w:sz w:val="24"/>
          <w:szCs w:val="24"/>
        </w:rPr>
        <w:t>Fallos U. 58, XLIX)</w:t>
      </w:r>
      <w:r>
        <w:rPr>
          <w:rFonts w:ascii="Cambria" w:hAnsi="Cambria" w:cs="Arial"/>
          <w:color w:val="222222"/>
          <w:sz w:val="24"/>
          <w:szCs w:val="24"/>
          <w:lang w:eastAsia="es-AR"/>
        </w:rPr>
        <w:t>, tramiten el recurso de inconstitucionalidad siguiendo las normas del amparo (CP artículo 87).</w:t>
      </w:r>
      <w:r w:rsidRPr="00FD143D">
        <w:rPr>
          <w:rFonts w:ascii="Cambria" w:hAnsi="Cambria" w:cs="Arial"/>
          <w:color w:val="222222"/>
          <w:sz w:val="24"/>
          <w:szCs w:val="24"/>
          <w:lang w:eastAsia="es-AR"/>
        </w:rPr>
        <w:t xml:space="preserve"> </w:t>
      </w:r>
    </w:p>
    <w:p w:rsidR="00FD143D" w:rsidRDefault="00FD143D" w:rsidP="002E741C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</w:p>
    <w:p w:rsidR="00382E21" w:rsidRPr="003F08FA" w:rsidRDefault="00382E21" w:rsidP="00382E21">
      <w:pPr>
        <w:shd w:val="clear" w:color="auto" w:fill="FFFFFF"/>
        <w:spacing w:after="120" w:line="360" w:lineRule="auto"/>
        <w:jc w:val="both"/>
        <w:rPr>
          <w:rFonts w:ascii="Cambria" w:hAnsi="Cambria" w:cs="Arial"/>
          <w:color w:val="222222"/>
          <w:sz w:val="24"/>
          <w:szCs w:val="24"/>
          <w:lang w:eastAsia="es-AR"/>
        </w:rPr>
      </w:pPr>
    </w:p>
    <w:p w:rsidR="00382E21" w:rsidRPr="00253522" w:rsidRDefault="00382E21" w:rsidP="00382E21">
      <w:pPr>
        <w:shd w:val="clear" w:color="auto" w:fill="FFFFFF"/>
        <w:spacing w:after="120" w:line="360" w:lineRule="auto"/>
        <w:ind w:left="360"/>
        <w:jc w:val="both"/>
        <w:rPr>
          <w:rFonts w:asciiTheme="majorHAnsi" w:hAnsiTheme="majorHAnsi" w:cs="Arial"/>
          <w:i/>
          <w:color w:val="222222"/>
          <w:sz w:val="24"/>
          <w:szCs w:val="24"/>
          <w:lang w:eastAsia="es-AR"/>
        </w:rPr>
      </w:pPr>
    </w:p>
    <w:p w:rsidR="00435B02" w:rsidRPr="00435B02" w:rsidRDefault="00F240EC" w:rsidP="00F240EC">
      <w:pPr>
        <w:shd w:val="clear" w:color="auto" w:fill="FFFFFF"/>
        <w:spacing w:after="120" w:line="360" w:lineRule="auto"/>
        <w:ind w:left="360"/>
        <w:jc w:val="both"/>
        <w:rPr>
          <w:rFonts w:asciiTheme="majorHAnsi" w:hAnsiTheme="majorHAnsi" w:cs="Arial"/>
          <w:color w:val="222222"/>
          <w:sz w:val="24"/>
          <w:szCs w:val="24"/>
          <w:lang w:eastAsia="es-AR"/>
        </w:rPr>
      </w:pPr>
      <w:r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</w:t>
      </w:r>
      <w:r w:rsidR="00435B02">
        <w:rPr>
          <w:rFonts w:asciiTheme="majorHAnsi" w:hAnsiTheme="majorHAnsi" w:cs="Arial"/>
          <w:color w:val="222222"/>
          <w:sz w:val="24"/>
          <w:szCs w:val="24"/>
          <w:lang w:eastAsia="es-AR"/>
        </w:rPr>
        <w:t xml:space="preserve"> </w:t>
      </w:r>
      <w:bookmarkStart w:id="0" w:name="_GoBack"/>
      <w:bookmarkEnd w:id="0"/>
    </w:p>
    <w:sectPr w:rsidR="00435B02" w:rsidRPr="00435B02" w:rsidSect="00B47463">
      <w:pgSz w:w="11907" w:h="16840" w:code="9"/>
      <w:pgMar w:top="2268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56A"/>
    <w:multiLevelType w:val="hybridMultilevel"/>
    <w:tmpl w:val="D17C2488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7052B0"/>
    <w:multiLevelType w:val="hybridMultilevel"/>
    <w:tmpl w:val="64E8988C"/>
    <w:lvl w:ilvl="0" w:tplc="04604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59"/>
    <w:rsid w:val="00071708"/>
    <w:rsid w:val="00177B3C"/>
    <w:rsid w:val="00253522"/>
    <w:rsid w:val="00291079"/>
    <w:rsid w:val="00295D76"/>
    <w:rsid w:val="002E741C"/>
    <w:rsid w:val="00382E21"/>
    <w:rsid w:val="00431B07"/>
    <w:rsid w:val="00435B02"/>
    <w:rsid w:val="00437539"/>
    <w:rsid w:val="00473E04"/>
    <w:rsid w:val="004A5EE0"/>
    <w:rsid w:val="004C6DC3"/>
    <w:rsid w:val="005D275C"/>
    <w:rsid w:val="00627DD5"/>
    <w:rsid w:val="00832AD0"/>
    <w:rsid w:val="00966431"/>
    <w:rsid w:val="00B47463"/>
    <w:rsid w:val="00BB5DD9"/>
    <w:rsid w:val="00C54959"/>
    <w:rsid w:val="00EE4CBE"/>
    <w:rsid w:val="00F240EC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5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D14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143D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5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D14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143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1184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2</cp:revision>
  <cp:lastPrinted>2015-05-02T08:43:00Z</cp:lastPrinted>
  <dcterms:created xsi:type="dcterms:W3CDTF">2015-05-02T08:33:00Z</dcterms:created>
  <dcterms:modified xsi:type="dcterms:W3CDTF">2015-05-04T10:52:00Z</dcterms:modified>
</cp:coreProperties>
</file>