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05" w:rsidRPr="008E2328" w:rsidRDefault="00190405" w:rsidP="00190405">
      <w:pPr>
        <w:pStyle w:val="Ttulo"/>
        <w:jc w:val="right"/>
        <w:rPr>
          <w:sz w:val="40"/>
          <w:szCs w:val="40"/>
          <w:lang w:eastAsia="es-AR"/>
        </w:rPr>
      </w:pPr>
      <w:r>
        <w:rPr>
          <w:b/>
          <w:sz w:val="20"/>
          <w:szCs w:val="20"/>
          <w:lang w:eastAsia="es-AR"/>
        </w:rPr>
        <w:t>V</w:t>
      </w:r>
      <w:r w:rsidRPr="00190405">
        <w:rPr>
          <w:b/>
          <w:sz w:val="20"/>
          <w:szCs w:val="20"/>
          <w:lang w:eastAsia="es-AR"/>
        </w:rPr>
        <w:t>ersión 10.0</w:t>
      </w:r>
    </w:p>
    <w:p w:rsidR="008E2328" w:rsidRPr="008E2328" w:rsidRDefault="008E2328" w:rsidP="008E2328">
      <w:pPr>
        <w:pStyle w:val="Ttulo"/>
        <w:rPr>
          <w:sz w:val="40"/>
          <w:szCs w:val="40"/>
          <w:lang w:eastAsia="es-AR"/>
        </w:rPr>
      </w:pPr>
      <w:r w:rsidRPr="008E2328">
        <w:rPr>
          <w:sz w:val="40"/>
          <w:szCs w:val="40"/>
          <w:lang w:eastAsia="es-AR"/>
        </w:rPr>
        <w:t>INDICE</w:t>
      </w:r>
      <w:r w:rsidR="00190405">
        <w:rPr>
          <w:sz w:val="40"/>
          <w:szCs w:val="40"/>
          <w:lang w:eastAsia="es-AR"/>
        </w:rPr>
        <w:t xml:space="preserve"> </w:t>
      </w:r>
    </w:p>
    <w:p w:rsidR="00E3377B" w:rsidRPr="005C2E6A" w:rsidRDefault="00E3377B" w:rsidP="005C2E6A">
      <w:pPr>
        <w:shd w:val="clear" w:color="auto" w:fill="FFFFFF"/>
        <w:spacing w:after="120" w:line="240" w:lineRule="auto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5C2E6A">
        <w:rPr>
          <w:rFonts w:asciiTheme="majorHAnsi" w:hAnsiTheme="majorHAnsi" w:cs="Arial"/>
          <w:b/>
          <w:color w:val="222222"/>
          <w:u w:val="single"/>
          <w:lang w:eastAsia="es-AR"/>
        </w:rPr>
        <w:t>I. OBJETO DEL RECURSO</w:t>
      </w:r>
    </w:p>
    <w:p w:rsidR="005C2E6A" w:rsidRPr="005C2E6A" w:rsidRDefault="005C2E6A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 xml:space="preserve">1.- Garantizar el contenido esencial del derecho al voto y la pureza del comicio </w:t>
      </w:r>
    </w:p>
    <w:p w:rsidR="005C2E6A" w:rsidRPr="005C2E6A" w:rsidRDefault="005C2E6A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 xml:space="preserve">2.- Declaración de inconstitucionalidad y actuación sustitutoria </w:t>
      </w:r>
    </w:p>
    <w:p w:rsidR="005C2E6A" w:rsidRPr="005C2E6A" w:rsidRDefault="005C2E6A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>3.- Gravedad institucional</w:t>
      </w:r>
    </w:p>
    <w:p w:rsidR="005C2E6A" w:rsidRPr="005C2E6A" w:rsidRDefault="005C2E6A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5C2E6A">
        <w:rPr>
          <w:rFonts w:asciiTheme="majorHAnsi" w:hAnsiTheme="majorHAnsi" w:cs="Arial"/>
          <w:b/>
          <w:color w:val="222222"/>
          <w:u w:val="single"/>
          <w:lang w:eastAsia="es-AR"/>
        </w:rPr>
        <w:t>II. ASPECTOS PROCESALES</w:t>
      </w:r>
    </w:p>
    <w:p w:rsidR="005C2E6A" w:rsidRPr="005C2E6A" w:rsidRDefault="005C2E6A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>1.- Competencia de la Corte de Justicia de Salta</w:t>
      </w:r>
    </w:p>
    <w:p w:rsidR="005C2E6A" w:rsidRPr="005C2E6A" w:rsidRDefault="005C2E6A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>2.- Aplicación analógica del procedimiento del amparo</w:t>
      </w:r>
    </w:p>
    <w:p w:rsidR="00E3377B" w:rsidRPr="005C2E6A" w:rsidRDefault="005C2E6A" w:rsidP="005C2E6A">
      <w:pPr>
        <w:shd w:val="clear" w:color="auto" w:fill="FFFFFF"/>
        <w:spacing w:after="120" w:line="240" w:lineRule="auto"/>
        <w:rPr>
          <w:rFonts w:asciiTheme="majorHAnsi" w:hAnsiTheme="majorHAnsi" w:cs="Arial"/>
          <w:b/>
          <w:color w:val="222222"/>
          <w:u w:val="single"/>
          <w:lang w:eastAsia="es-AR"/>
        </w:rPr>
      </w:pPr>
      <w:r>
        <w:rPr>
          <w:rFonts w:asciiTheme="majorHAnsi" w:hAnsiTheme="majorHAnsi" w:cs="Arial"/>
          <w:b/>
          <w:color w:val="222222"/>
          <w:u w:val="single"/>
          <w:lang w:eastAsia="es-AR"/>
        </w:rPr>
        <w:t>I</w:t>
      </w:r>
      <w:r w:rsidR="00E3377B" w:rsidRPr="005C2E6A">
        <w:rPr>
          <w:rFonts w:asciiTheme="majorHAnsi" w:hAnsiTheme="majorHAnsi" w:cs="Arial"/>
          <w:b/>
          <w:color w:val="222222"/>
          <w:u w:val="single"/>
          <w:lang w:eastAsia="es-AR"/>
        </w:rPr>
        <w:t>II. ANTECEDENTES DEL CASO QUE DA ORIGEN A ESTE RECURSO</w:t>
      </w:r>
    </w:p>
    <w:p w:rsidR="00E3377B" w:rsidRPr="005C2E6A" w:rsidRDefault="00450363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>1.- La reforma electoral de 2012</w:t>
      </w:r>
      <w:r w:rsidR="000572C4">
        <w:rPr>
          <w:rFonts w:asciiTheme="majorHAnsi" w:hAnsiTheme="majorHAnsi" w:cs="Arial"/>
          <w:color w:val="222222"/>
          <w:lang w:eastAsia="es-AR"/>
        </w:rPr>
        <w:t xml:space="preserve"> consagra </w:t>
      </w:r>
      <w:r w:rsidRPr="005C2E6A">
        <w:rPr>
          <w:rFonts w:asciiTheme="majorHAnsi" w:hAnsiTheme="majorHAnsi" w:cs="Arial"/>
          <w:color w:val="222222"/>
          <w:lang w:eastAsia="es-AR"/>
        </w:rPr>
        <w:t>un régimen mixto</w:t>
      </w:r>
    </w:p>
    <w:p w:rsidR="00E3377B" w:rsidRPr="005C2E6A" w:rsidRDefault="00E3377B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5C2E6A">
        <w:rPr>
          <w:rFonts w:asciiTheme="majorHAnsi" w:hAnsiTheme="majorHAnsi" w:cs="Arial"/>
          <w:i/>
          <w:color w:val="222222"/>
          <w:lang w:eastAsia="es-AR"/>
        </w:rPr>
        <w:t xml:space="preserve">1.1 Tachas y reservas de la oposición </w:t>
      </w:r>
      <w:r w:rsidR="000572C4">
        <w:rPr>
          <w:rFonts w:asciiTheme="majorHAnsi" w:hAnsiTheme="majorHAnsi" w:cs="Arial"/>
          <w:i/>
          <w:color w:val="222222"/>
          <w:lang w:eastAsia="es-AR"/>
        </w:rPr>
        <w:t>en la Legislatura</w:t>
      </w:r>
    </w:p>
    <w:p w:rsidR="00E3377B" w:rsidRPr="005C2E6A" w:rsidRDefault="00E3377B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5C2E6A">
        <w:rPr>
          <w:rFonts w:asciiTheme="majorHAnsi" w:hAnsiTheme="majorHAnsi" w:cs="Arial"/>
          <w:i/>
          <w:color w:val="222222"/>
          <w:lang w:eastAsia="es-AR"/>
        </w:rPr>
        <w:t xml:space="preserve">1.2 Sistema mixto. Garantías mixtas </w:t>
      </w:r>
    </w:p>
    <w:p w:rsidR="00E3377B" w:rsidRPr="008E2328" w:rsidRDefault="00E3377B" w:rsidP="005C2E6A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5C2E6A">
        <w:rPr>
          <w:rFonts w:asciiTheme="majorHAnsi" w:hAnsiTheme="majorHAnsi" w:cs="Arial"/>
          <w:i/>
          <w:color w:val="222222"/>
          <w:lang w:eastAsia="es-AR"/>
        </w:rPr>
        <w:t>1.3 Lagunas regulatorias del escrutinio provisorio</w:t>
      </w:r>
      <w:r w:rsidRPr="008E2328">
        <w:rPr>
          <w:rFonts w:asciiTheme="majorHAnsi" w:hAnsiTheme="majorHAnsi" w:cs="Arial"/>
          <w:i/>
          <w:color w:val="222222"/>
          <w:lang w:eastAsia="es-AR"/>
        </w:rPr>
        <w:t xml:space="preserve">  </w:t>
      </w:r>
    </w:p>
    <w:p w:rsidR="00E3377B" w:rsidRPr="005C2E6A" w:rsidRDefault="00450363" w:rsidP="005C2E6A">
      <w:pPr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>2.- Las PASO de</w:t>
      </w:r>
      <w:r w:rsidR="000572C4">
        <w:rPr>
          <w:rFonts w:asciiTheme="majorHAnsi" w:hAnsiTheme="majorHAnsi" w:cs="Arial"/>
          <w:color w:val="222222"/>
          <w:lang w:eastAsia="es-AR"/>
        </w:rPr>
        <w:t>l 12 de</w:t>
      </w:r>
      <w:r w:rsidRPr="005C2E6A">
        <w:rPr>
          <w:rFonts w:asciiTheme="majorHAnsi" w:hAnsiTheme="majorHAnsi" w:cs="Arial"/>
          <w:color w:val="222222"/>
          <w:lang w:eastAsia="es-AR"/>
        </w:rPr>
        <w:t xml:space="preserve"> abril de 2015</w:t>
      </w:r>
    </w:p>
    <w:p w:rsidR="00E3377B" w:rsidRPr="005C2E6A" w:rsidRDefault="00450363" w:rsidP="005C2E6A">
      <w:pPr>
        <w:spacing w:after="120" w:line="240" w:lineRule="auto"/>
        <w:jc w:val="both"/>
        <w:rPr>
          <w:rFonts w:asciiTheme="majorHAnsi" w:hAnsiTheme="majorHAnsi" w:cs="Arial"/>
          <w:color w:val="222222"/>
          <w:lang w:eastAsia="es-AR"/>
        </w:rPr>
      </w:pPr>
      <w:r w:rsidRPr="005C2E6A">
        <w:rPr>
          <w:rFonts w:asciiTheme="majorHAnsi" w:hAnsiTheme="majorHAnsi" w:cs="Arial"/>
          <w:color w:val="222222"/>
          <w:lang w:eastAsia="es-AR"/>
        </w:rPr>
        <w:t>3.- Nuestras presentaciones ante el Tribunal Electoral a propósito de las elecciones prov</w:t>
      </w:r>
      <w:r w:rsidR="005C2E6A">
        <w:rPr>
          <w:rFonts w:asciiTheme="majorHAnsi" w:hAnsiTheme="majorHAnsi" w:cs="Arial"/>
          <w:color w:val="222222"/>
          <w:lang w:eastAsia="es-AR"/>
        </w:rPr>
        <w:t>inciales del próximo 17 de mayo</w:t>
      </w:r>
    </w:p>
    <w:p w:rsidR="005C2E6A" w:rsidRPr="00D20C3E" w:rsidRDefault="005C2E6A" w:rsidP="00D20C3E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D20C3E">
        <w:rPr>
          <w:rFonts w:asciiTheme="majorHAnsi" w:hAnsiTheme="majorHAnsi" w:cs="Arial"/>
          <w:i/>
          <w:color w:val="222222"/>
          <w:lang w:eastAsia="es-AR"/>
        </w:rPr>
        <w:t>3.1 Conocer y auditar el código fuente</w:t>
      </w:r>
    </w:p>
    <w:p w:rsidR="00D20C3E" w:rsidRPr="00D20C3E" w:rsidRDefault="00D20C3E" w:rsidP="00D20C3E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D20C3E">
        <w:rPr>
          <w:rFonts w:asciiTheme="majorHAnsi" w:hAnsiTheme="majorHAnsi" w:cs="Arial"/>
          <w:i/>
          <w:color w:val="222222"/>
          <w:lang w:eastAsia="es-AR"/>
        </w:rPr>
        <w:t xml:space="preserve">3.2 La incidentada audiencia del 28 de abril a horas 20 </w:t>
      </w:r>
    </w:p>
    <w:p w:rsidR="005C2E6A" w:rsidRPr="00D20C3E" w:rsidRDefault="00D20C3E" w:rsidP="00D20C3E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D20C3E">
        <w:rPr>
          <w:rFonts w:asciiTheme="majorHAnsi" w:hAnsiTheme="majorHAnsi" w:cs="Arial"/>
          <w:i/>
          <w:color w:val="222222"/>
          <w:lang w:eastAsia="es-AR"/>
        </w:rPr>
        <w:t xml:space="preserve">3.3 </w:t>
      </w:r>
      <w:r w:rsidR="005C2E6A" w:rsidRPr="00D20C3E">
        <w:rPr>
          <w:rFonts w:asciiTheme="majorHAnsi" w:hAnsiTheme="majorHAnsi" w:cs="Arial"/>
          <w:i/>
          <w:color w:val="222222"/>
          <w:lang w:eastAsia="es-AR"/>
        </w:rPr>
        <w:t>Requerimiento de garantías</w:t>
      </w:r>
    </w:p>
    <w:p w:rsidR="005C2E6A" w:rsidRPr="00D20C3E" w:rsidRDefault="005C2E6A" w:rsidP="00D20C3E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D20C3E">
        <w:rPr>
          <w:rFonts w:asciiTheme="majorHAnsi" w:hAnsiTheme="majorHAnsi" w:cs="Arial"/>
          <w:i/>
          <w:color w:val="222222"/>
          <w:lang w:eastAsia="es-AR"/>
        </w:rPr>
        <w:t>3.</w:t>
      </w:r>
      <w:r w:rsidR="00D20C3E" w:rsidRPr="00D20C3E">
        <w:rPr>
          <w:rFonts w:asciiTheme="majorHAnsi" w:hAnsiTheme="majorHAnsi" w:cs="Arial"/>
          <w:i/>
          <w:color w:val="222222"/>
          <w:lang w:eastAsia="es-AR"/>
        </w:rPr>
        <w:t>4</w:t>
      </w:r>
      <w:r w:rsidRPr="00D20C3E">
        <w:rPr>
          <w:rFonts w:asciiTheme="majorHAnsi" w:hAnsiTheme="majorHAnsi" w:cs="Arial"/>
          <w:i/>
          <w:color w:val="222222"/>
          <w:lang w:eastAsia="es-AR"/>
        </w:rPr>
        <w:t xml:space="preserve"> Recurso de aclaratoria</w:t>
      </w:r>
    </w:p>
    <w:p w:rsidR="005C2E6A" w:rsidRPr="00D20C3E" w:rsidRDefault="005C2E6A" w:rsidP="00D20C3E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D20C3E">
        <w:rPr>
          <w:rFonts w:asciiTheme="majorHAnsi" w:hAnsiTheme="majorHAnsi" w:cs="Arial"/>
          <w:i/>
          <w:color w:val="222222"/>
          <w:lang w:eastAsia="es-AR"/>
        </w:rPr>
        <w:t>3.</w:t>
      </w:r>
      <w:r w:rsidR="00D20C3E" w:rsidRPr="00D20C3E">
        <w:rPr>
          <w:rFonts w:asciiTheme="majorHAnsi" w:hAnsiTheme="majorHAnsi" w:cs="Arial"/>
          <w:i/>
          <w:color w:val="222222"/>
          <w:lang w:eastAsia="es-AR"/>
        </w:rPr>
        <w:t>5</w:t>
      </w:r>
      <w:r w:rsidRPr="00D20C3E">
        <w:rPr>
          <w:rFonts w:asciiTheme="majorHAnsi" w:hAnsiTheme="majorHAnsi" w:cs="Arial"/>
          <w:i/>
          <w:color w:val="222222"/>
          <w:lang w:eastAsia="es-AR"/>
        </w:rPr>
        <w:t xml:space="preserve"> Insistencia sobre el código fuente</w:t>
      </w:r>
    </w:p>
    <w:p w:rsidR="005C2E6A" w:rsidRPr="00D20C3E" w:rsidRDefault="005C2E6A" w:rsidP="00D20C3E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D20C3E">
        <w:rPr>
          <w:rFonts w:asciiTheme="majorHAnsi" w:hAnsiTheme="majorHAnsi" w:cs="Arial"/>
          <w:i/>
          <w:color w:val="222222"/>
          <w:lang w:eastAsia="es-AR"/>
        </w:rPr>
        <w:t>3.</w:t>
      </w:r>
      <w:r w:rsidR="00D20C3E" w:rsidRPr="00D20C3E">
        <w:rPr>
          <w:rFonts w:asciiTheme="majorHAnsi" w:hAnsiTheme="majorHAnsi" w:cs="Arial"/>
          <w:i/>
          <w:color w:val="222222"/>
          <w:lang w:eastAsia="es-AR"/>
        </w:rPr>
        <w:t>6</w:t>
      </w:r>
      <w:r w:rsidRPr="00D20C3E">
        <w:rPr>
          <w:rFonts w:asciiTheme="majorHAnsi" w:hAnsiTheme="majorHAnsi" w:cs="Arial"/>
          <w:i/>
          <w:color w:val="222222"/>
          <w:lang w:eastAsia="es-AR"/>
        </w:rPr>
        <w:t xml:space="preserve"> Garantías para el escrutinio provisorio informatizado</w:t>
      </w:r>
    </w:p>
    <w:p w:rsidR="00E3377B" w:rsidRPr="008E2328" w:rsidRDefault="00E3377B" w:rsidP="005C2E6A">
      <w:pPr>
        <w:shd w:val="clear" w:color="auto" w:fill="FFFFFF"/>
        <w:spacing w:after="120" w:line="240" w:lineRule="auto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I</w:t>
      </w:r>
      <w:r w:rsidR="005C2E6A">
        <w:rPr>
          <w:rFonts w:asciiTheme="majorHAnsi" w:hAnsiTheme="majorHAnsi" w:cs="Arial"/>
          <w:b/>
          <w:color w:val="222222"/>
          <w:u w:val="single"/>
          <w:lang w:eastAsia="es-AR"/>
        </w:rPr>
        <w:t>V</w:t>
      </w:r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. HECHOS Y FUNDAMENTOS DEL RECURSO</w:t>
      </w:r>
    </w:p>
    <w:p w:rsidR="008E2328" w:rsidRPr="00536D2B" w:rsidRDefault="008E2328" w:rsidP="005C2E6A">
      <w:pPr>
        <w:spacing w:after="120" w:line="240" w:lineRule="auto"/>
        <w:jc w:val="both"/>
        <w:rPr>
          <w:rFonts w:asciiTheme="majorHAnsi" w:hAnsiTheme="majorHAnsi" w:cs="Arial"/>
          <w:b/>
          <w:color w:val="222222"/>
          <w:lang w:eastAsia="es-AR"/>
        </w:rPr>
      </w:pPr>
      <w:r w:rsidRPr="00536D2B">
        <w:rPr>
          <w:rFonts w:asciiTheme="majorHAnsi" w:hAnsiTheme="majorHAnsi" w:cs="Arial"/>
          <w:b/>
          <w:color w:val="222222"/>
          <w:lang w:eastAsia="es-AR"/>
        </w:rPr>
        <w:t xml:space="preserve">1.- Negativa del Tribunal a nuestro acceso al “código fuente” </w:t>
      </w:r>
    </w:p>
    <w:p w:rsidR="00E3377B" w:rsidRPr="008E2328" w:rsidRDefault="00E3377B" w:rsidP="005C2E6A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8E2328">
        <w:rPr>
          <w:rFonts w:asciiTheme="majorHAnsi" w:hAnsiTheme="majorHAnsi" w:cs="Arial"/>
          <w:i/>
          <w:color w:val="222222"/>
          <w:lang w:eastAsia="es-AR"/>
        </w:rPr>
        <w:t>1.1 Cometido y función. Vulnerabilidad</w:t>
      </w:r>
    </w:p>
    <w:p w:rsidR="00E3377B" w:rsidRPr="008E2328" w:rsidRDefault="00E3377B" w:rsidP="005C2E6A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8E2328">
        <w:rPr>
          <w:rFonts w:asciiTheme="majorHAnsi" w:hAnsiTheme="majorHAnsi" w:cs="Arial"/>
          <w:i/>
          <w:color w:val="222222"/>
          <w:lang w:eastAsia="es-AR"/>
        </w:rPr>
        <w:t xml:space="preserve">1.2 Las múltiples auditorias sobre el “código fuente” </w:t>
      </w:r>
    </w:p>
    <w:p w:rsidR="00E3377B" w:rsidRPr="008E2328" w:rsidRDefault="00E3377B" w:rsidP="005C2E6A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8E2328">
        <w:rPr>
          <w:rFonts w:asciiTheme="majorHAnsi" w:hAnsiTheme="majorHAnsi" w:cs="Arial"/>
          <w:i/>
          <w:color w:val="222222"/>
          <w:lang w:eastAsia="es-AR"/>
        </w:rPr>
        <w:t>1.3 Nuestras peticiones de acceso al “código fuente”</w:t>
      </w:r>
    </w:p>
    <w:p w:rsidR="00E3377B" w:rsidRPr="008E2328" w:rsidRDefault="00E3377B" w:rsidP="005C2E6A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8E2328">
        <w:rPr>
          <w:rFonts w:asciiTheme="majorHAnsi" w:hAnsiTheme="majorHAnsi" w:cs="Arial"/>
          <w:i/>
          <w:color w:val="222222"/>
          <w:lang w:eastAsia="es-AR"/>
        </w:rPr>
        <w:t>1.4 Negativas tácitas del Tribunal</w:t>
      </w:r>
    </w:p>
    <w:p w:rsidR="00E3377B" w:rsidRPr="008E2328" w:rsidRDefault="00E3377B" w:rsidP="005C2E6A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8E2328">
        <w:rPr>
          <w:rFonts w:asciiTheme="majorHAnsi" w:hAnsiTheme="majorHAnsi" w:cs="Arial"/>
          <w:i/>
          <w:color w:val="222222"/>
          <w:lang w:eastAsia="es-AR"/>
        </w:rPr>
        <w:t xml:space="preserve">1.5 </w:t>
      </w:r>
      <w:r w:rsidR="000572C4">
        <w:rPr>
          <w:rFonts w:asciiTheme="majorHAnsi" w:hAnsiTheme="majorHAnsi" w:cs="Arial"/>
          <w:i/>
          <w:color w:val="222222"/>
          <w:lang w:eastAsia="es-AR"/>
        </w:rPr>
        <w:t xml:space="preserve">La negativa “oblicua” del Tribunal: </w:t>
      </w:r>
      <w:r w:rsidRPr="008E2328">
        <w:rPr>
          <w:rFonts w:asciiTheme="majorHAnsi" w:hAnsiTheme="majorHAnsi" w:cs="Arial"/>
          <w:i/>
          <w:color w:val="222222"/>
          <w:lang w:eastAsia="es-AR"/>
        </w:rPr>
        <w:t xml:space="preserve">Una </w:t>
      </w:r>
      <w:r w:rsidR="000572C4">
        <w:rPr>
          <w:rFonts w:asciiTheme="majorHAnsi" w:hAnsiTheme="majorHAnsi" w:cs="Arial"/>
          <w:i/>
          <w:color w:val="222222"/>
          <w:lang w:eastAsia="es-AR"/>
        </w:rPr>
        <w:t>providencia inexplicada</w:t>
      </w:r>
    </w:p>
    <w:p w:rsidR="00E3377B" w:rsidRPr="008E2328" w:rsidRDefault="00E3377B" w:rsidP="005C2E6A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8E2328">
        <w:rPr>
          <w:rFonts w:asciiTheme="majorHAnsi" w:hAnsiTheme="majorHAnsi" w:cs="Arial"/>
          <w:i/>
          <w:color w:val="222222"/>
          <w:lang w:eastAsia="es-AR"/>
        </w:rPr>
        <w:t>1.</w:t>
      </w:r>
      <w:r w:rsidR="000572C4">
        <w:rPr>
          <w:rFonts w:asciiTheme="majorHAnsi" w:hAnsiTheme="majorHAnsi" w:cs="Arial"/>
          <w:i/>
          <w:color w:val="222222"/>
          <w:lang w:eastAsia="es-AR"/>
        </w:rPr>
        <w:t>6</w:t>
      </w:r>
      <w:r w:rsidRPr="008E2328">
        <w:rPr>
          <w:rFonts w:asciiTheme="majorHAnsi" w:hAnsiTheme="majorHAnsi" w:cs="Arial"/>
          <w:i/>
          <w:color w:val="222222"/>
          <w:lang w:eastAsia="es-AR"/>
        </w:rPr>
        <w:t xml:space="preserve"> Encuadre jurídico de la negativa </w:t>
      </w:r>
    </w:p>
    <w:p w:rsidR="008E2328" w:rsidRPr="00536D2B" w:rsidRDefault="00536D2B" w:rsidP="008E2328">
      <w:pPr>
        <w:shd w:val="clear" w:color="auto" w:fill="FFFFFF"/>
        <w:spacing w:after="120"/>
        <w:jc w:val="both"/>
        <w:rPr>
          <w:rFonts w:asciiTheme="majorHAnsi" w:hAnsiTheme="majorHAnsi" w:cs="Arial"/>
          <w:b/>
          <w:color w:val="222222"/>
          <w:lang w:eastAsia="es-AR"/>
        </w:rPr>
      </w:pPr>
      <w:r w:rsidRPr="00536D2B">
        <w:rPr>
          <w:rFonts w:asciiTheme="majorHAnsi" w:hAnsiTheme="majorHAnsi" w:cs="Arial"/>
          <w:b/>
          <w:color w:val="222222"/>
          <w:lang w:eastAsia="es-AR"/>
        </w:rPr>
        <w:t xml:space="preserve">2. Negativas del Tribunal </w:t>
      </w:r>
      <w:r w:rsidR="000572C4">
        <w:rPr>
          <w:rFonts w:asciiTheme="majorHAnsi" w:hAnsiTheme="majorHAnsi" w:cs="Arial"/>
          <w:b/>
          <w:color w:val="222222"/>
          <w:lang w:eastAsia="es-AR"/>
        </w:rPr>
        <w:t>referidas al segmento informatizado</w:t>
      </w:r>
    </w:p>
    <w:p w:rsidR="00E3377B" w:rsidRPr="008E2328" w:rsidRDefault="00536D2B" w:rsidP="008E2328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2</w:t>
      </w:r>
      <w:r w:rsidR="00E3377B" w:rsidRPr="008E2328">
        <w:rPr>
          <w:rFonts w:asciiTheme="majorHAnsi" w:hAnsiTheme="majorHAnsi" w:cs="Arial"/>
          <w:i/>
          <w:color w:val="222222"/>
          <w:lang w:eastAsia="es-AR"/>
        </w:rPr>
        <w:t xml:space="preserve">.1 </w:t>
      </w:r>
      <w:r w:rsidR="000572C4">
        <w:rPr>
          <w:rFonts w:asciiTheme="majorHAnsi" w:hAnsiTheme="majorHAnsi" w:cs="Arial"/>
          <w:i/>
          <w:color w:val="222222"/>
          <w:lang w:eastAsia="es-AR"/>
        </w:rPr>
        <w:t>Acceso al código fuente (remisión)</w:t>
      </w:r>
    </w:p>
    <w:p w:rsidR="00E3377B" w:rsidRPr="008E2328" w:rsidRDefault="00536D2B" w:rsidP="00CF53A0">
      <w:pPr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2</w:t>
      </w:r>
      <w:r w:rsidR="00E3377B" w:rsidRPr="008E2328">
        <w:rPr>
          <w:rFonts w:asciiTheme="majorHAnsi" w:hAnsiTheme="majorHAnsi" w:cs="Arial"/>
          <w:i/>
          <w:color w:val="222222"/>
          <w:lang w:eastAsia="es-AR"/>
        </w:rPr>
        <w:t>.2 Logística del sistema</w:t>
      </w:r>
    </w:p>
    <w:p w:rsidR="00E3377B" w:rsidRPr="008E2328" w:rsidRDefault="00536D2B" w:rsidP="00CF53A0">
      <w:pPr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lastRenderedPageBreak/>
        <w:t>2</w:t>
      </w:r>
      <w:r w:rsidR="00E3377B" w:rsidRPr="008E2328">
        <w:rPr>
          <w:rFonts w:asciiTheme="majorHAnsi" w:hAnsiTheme="majorHAnsi" w:cs="Arial"/>
          <w:i/>
          <w:color w:val="222222"/>
          <w:lang w:eastAsia="es-AR"/>
        </w:rPr>
        <w:t>.</w:t>
      </w:r>
      <w:r w:rsidR="00CF53A0">
        <w:rPr>
          <w:rFonts w:asciiTheme="majorHAnsi" w:hAnsiTheme="majorHAnsi" w:cs="Arial"/>
          <w:i/>
          <w:color w:val="222222"/>
          <w:lang w:eastAsia="es-AR"/>
        </w:rPr>
        <w:t>3</w:t>
      </w:r>
      <w:r w:rsidR="00E3377B" w:rsidRPr="008E2328">
        <w:rPr>
          <w:rFonts w:asciiTheme="majorHAnsi" w:hAnsiTheme="majorHAnsi" w:cs="Arial"/>
          <w:i/>
          <w:color w:val="222222"/>
          <w:lang w:eastAsia="es-AR"/>
        </w:rPr>
        <w:t xml:space="preserve"> Encuadre jurídico de esta vulnerabilidad y de lo actuado por el Tribunal</w:t>
      </w:r>
    </w:p>
    <w:p w:rsidR="008E2328" w:rsidRPr="000572C4" w:rsidRDefault="00536D2B" w:rsidP="008E2328">
      <w:pPr>
        <w:shd w:val="clear" w:color="auto" w:fill="FFFFFF"/>
        <w:spacing w:after="120"/>
        <w:jc w:val="both"/>
        <w:rPr>
          <w:rFonts w:asciiTheme="majorHAnsi" w:hAnsiTheme="majorHAnsi" w:cs="Arial"/>
          <w:b/>
          <w:color w:val="222222"/>
          <w:lang w:eastAsia="es-AR"/>
        </w:rPr>
      </w:pPr>
      <w:r w:rsidRPr="000572C4">
        <w:rPr>
          <w:rFonts w:asciiTheme="majorHAnsi" w:hAnsiTheme="majorHAnsi" w:cs="Arial"/>
          <w:b/>
          <w:color w:val="222222"/>
          <w:lang w:eastAsia="es-AR"/>
        </w:rPr>
        <w:t xml:space="preserve">3. </w:t>
      </w:r>
      <w:r w:rsidR="008E2328" w:rsidRPr="000572C4">
        <w:rPr>
          <w:rFonts w:asciiTheme="majorHAnsi" w:hAnsiTheme="majorHAnsi" w:cs="Arial"/>
          <w:b/>
          <w:color w:val="222222"/>
          <w:lang w:eastAsia="es-AR"/>
        </w:rPr>
        <w:t>Negativa</w:t>
      </w:r>
      <w:r w:rsidR="000572C4" w:rsidRPr="000572C4">
        <w:rPr>
          <w:rFonts w:asciiTheme="majorHAnsi" w:hAnsiTheme="majorHAnsi" w:cs="Arial"/>
          <w:b/>
          <w:color w:val="222222"/>
          <w:lang w:eastAsia="es-AR"/>
        </w:rPr>
        <w:t>s</w:t>
      </w:r>
      <w:r w:rsidR="008E2328" w:rsidRPr="000572C4">
        <w:rPr>
          <w:rFonts w:asciiTheme="majorHAnsi" w:hAnsiTheme="majorHAnsi" w:cs="Arial"/>
          <w:b/>
          <w:color w:val="222222"/>
          <w:lang w:eastAsia="es-AR"/>
        </w:rPr>
        <w:t xml:space="preserve"> del Tribunal </w:t>
      </w:r>
      <w:r w:rsidR="000572C4">
        <w:rPr>
          <w:rFonts w:asciiTheme="majorHAnsi" w:hAnsiTheme="majorHAnsi" w:cs="Arial"/>
          <w:b/>
          <w:color w:val="222222"/>
          <w:lang w:eastAsia="es-AR"/>
        </w:rPr>
        <w:t xml:space="preserve">referidas al </w:t>
      </w:r>
      <w:r w:rsidR="008E2328" w:rsidRPr="000572C4">
        <w:rPr>
          <w:rFonts w:asciiTheme="majorHAnsi" w:hAnsiTheme="majorHAnsi" w:cs="Arial"/>
          <w:b/>
          <w:color w:val="222222"/>
          <w:lang w:eastAsia="es-AR"/>
        </w:rPr>
        <w:t>segmento manual</w:t>
      </w:r>
    </w:p>
    <w:p w:rsidR="00450363" w:rsidRPr="008E2328" w:rsidRDefault="00536D2B" w:rsidP="008E2328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3</w:t>
      </w:r>
      <w:r w:rsidR="00450363" w:rsidRPr="008E2328">
        <w:rPr>
          <w:rFonts w:asciiTheme="majorHAnsi" w:hAnsiTheme="majorHAnsi" w:cs="Arial"/>
          <w:i/>
          <w:color w:val="222222"/>
          <w:lang w:eastAsia="es-AR"/>
        </w:rPr>
        <w:t xml:space="preserve">.1 Eliminación del conteo manual </w:t>
      </w:r>
    </w:p>
    <w:p w:rsidR="00450363" w:rsidRPr="008E2328" w:rsidRDefault="00536D2B" w:rsidP="008E2328">
      <w:pPr>
        <w:shd w:val="clear" w:color="auto" w:fill="FFFFFF"/>
        <w:spacing w:after="120"/>
        <w:jc w:val="both"/>
        <w:rPr>
          <w:rFonts w:asciiTheme="majorHAnsi" w:hAnsiTheme="majorHAnsi" w:cs="Arial"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3</w:t>
      </w:r>
      <w:r w:rsidR="00450363" w:rsidRPr="008E2328">
        <w:rPr>
          <w:rFonts w:asciiTheme="majorHAnsi" w:hAnsiTheme="majorHAnsi" w:cs="Arial"/>
          <w:i/>
          <w:color w:val="222222"/>
          <w:lang w:eastAsia="es-AR"/>
        </w:rPr>
        <w:t>.2 Indebida supremacía del conteo electrónico</w:t>
      </w:r>
      <w:r w:rsidR="00450363" w:rsidRPr="008E2328">
        <w:rPr>
          <w:rFonts w:asciiTheme="majorHAnsi" w:hAnsiTheme="majorHAnsi" w:cs="Arial"/>
          <w:color w:val="222222"/>
          <w:lang w:eastAsia="es-AR"/>
        </w:rPr>
        <w:t xml:space="preserve"> </w:t>
      </w:r>
    </w:p>
    <w:p w:rsidR="00450363" w:rsidRPr="008E2328" w:rsidRDefault="00536D2B" w:rsidP="008E232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3</w:t>
      </w:r>
      <w:r w:rsidR="00450363" w:rsidRPr="008E2328">
        <w:rPr>
          <w:rFonts w:asciiTheme="majorHAnsi" w:hAnsiTheme="majorHAnsi" w:cs="Arial"/>
          <w:i/>
          <w:color w:val="222222"/>
          <w:lang w:eastAsia="es-AR"/>
        </w:rPr>
        <w:t xml:space="preserve">.3 Afectación del papel de los fiscales en el primer conteo </w:t>
      </w:r>
    </w:p>
    <w:p w:rsidR="00450363" w:rsidRPr="008E2328" w:rsidRDefault="00536D2B" w:rsidP="008E2328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3</w:t>
      </w:r>
      <w:r w:rsidR="00450363" w:rsidRPr="008E2328">
        <w:rPr>
          <w:rFonts w:asciiTheme="majorHAnsi" w:hAnsiTheme="majorHAnsi" w:cs="Arial"/>
          <w:i/>
          <w:color w:val="222222"/>
          <w:lang w:eastAsia="es-AR"/>
        </w:rPr>
        <w:t>.4 Encuadre jurídico de lo actuado por el Tribunal Electoral</w:t>
      </w:r>
    </w:p>
    <w:p w:rsidR="00536D2B" w:rsidRPr="00536D2B" w:rsidRDefault="00536D2B" w:rsidP="00536D2B">
      <w:pPr>
        <w:spacing w:after="120" w:line="240" w:lineRule="auto"/>
        <w:jc w:val="both"/>
        <w:rPr>
          <w:rFonts w:asciiTheme="majorHAnsi" w:hAnsiTheme="majorHAnsi" w:cs="Arial"/>
          <w:b/>
          <w:color w:val="222222"/>
          <w:lang w:eastAsia="es-AR"/>
        </w:rPr>
      </w:pPr>
      <w:r w:rsidRPr="00536D2B">
        <w:rPr>
          <w:rFonts w:asciiTheme="majorHAnsi" w:hAnsiTheme="majorHAnsi" w:cs="Arial"/>
          <w:b/>
          <w:color w:val="222222"/>
          <w:lang w:eastAsia="es-AR"/>
        </w:rPr>
        <w:t>4. Falta de garantías en el escrutinio provisorio informatizado</w:t>
      </w:r>
    </w:p>
    <w:p w:rsidR="00536D2B" w:rsidRPr="00536D2B" w:rsidRDefault="00536D2B" w:rsidP="00536D2B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536D2B">
        <w:rPr>
          <w:rFonts w:asciiTheme="majorHAnsi" w:hAnsiTheme="majorHAnsi" w:cs="Arial"/>
          <w:i/>
          <w:color w:val="222222"/>
          <w:lang w:eastAsia="es-AR"/>
        </w:rPr>
        <w:t>4.1 Concepto y función de este escrutinio</w:t>
      </w:r>
    </w:p>
    <w:p w:rsidR="00536D2B" w:rsidRPr="00536D2B" w:rsidRDefault="00536D2B" w:rsidP="00536D2B">
      <w:pPr>
        <w:spacing w:after="120" w:line="240" w:lineRule="auto"/>
        <w:jc w:val="both"/>
        <w:rPr>
          <w:rFonts w:asciiTheme="majorHAnsi" w:hAnsiTheme="majorHAnsi"/>
          <w:i/>
        </w:rPr>
      </w:pPr>
      <w:r w:rsidRPr="00536D2B">
        <w:rPr>
          <w:rFonts w:asciiTheme="majorHAnsi" w:hAnsiTheme="majorHAnsi"/>
          <w:i/>
        </w:rPr>
        <w:t>4.2 Derecho de las fuerzas políticas al control</w:t>
      </w:r>
    </w:p>
    <w:p w:rsidR="00536D2B" w:rsidRPr="00536D2B" w:rsidRDefault="00536D2B" w:rsidP="00536D2B">
      <w:pPr>
        <w:spacing w:after="120" w:line="240" w:lineRule="auto"/>
        <w:jc w:val="both"/>
        <w:rPr>
          <w:rFonts w:asciiTheme="majorHAnsi" w:hAnsiTheme="majorHAnsi"/>
          <w:i/>
        </w:rPr>
      </w:pPr>
      <w:r w:rsidRPr="00536D2B">
        <w:rPr>
          <w:rFonts w:asciiTheme="majorHAnsi" w:hAnsiTheme="majorHAnsi"/>
          <w:i/>
        </w:rPr>
        <w:t>4.3 Omisión regulatoria del Tribunal Electoral</w:t>
      </w:r>
    </w:p>
    <w:p w:rsidR="00536D2B" w:rsidRPr="00536D2B" w:rsidRDefault="00536D2B" w:rsidP="00536D2B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536D2B">
        <w:rPr>
          <w:rFonts w:asciiTheme="majorHAnsi" w:hAnsiTheme="majorHAnsi" w:cs="Arial"/>
          <w:i/>
          <w:color w:val="222222"/>
          <w:lang w:eastAsia="es-AR"/>
        </w:rPr>
        <w:t>4.4 Medidas regulatorias para la seguridad y la transparencia</w:t>
      </w:r>
    </w:p>
    <w:p w:rsidR="00536D2B" w:rsidRPr="00536D2B" w:rsidRDefault="00536D2B" w:rsidP="00EA2174">
      <w:pPr>
        <w:spacing w:after="120" w:line="240" w:lineRule="auto"/>
        <w:jc w:val="both"/>
        <w:rPr>
          <w:rFonts w:asciiTheme="majorHAnsi" w:hAnsiTheme="majorHAnsi" w:cs="Arial"/>
          <w:b/>
          <w:color w:val="222222"/>
          <w:lang w:eastAsia="es-AR"/>
        </w:rPr>
      </w:pPr>
      <w:r w:rsidRPr="00536D2B">
        <w:rPr>
          <w:rFonts w:asciiTheme="majorHAnsi" w:hAnsiTheme="majorHAnsi" w:cs="Arial"/>
          <w:b/>
          <w:color w:val="222222"/>
          <w:lang w:eastAsia="es-AR"/>
        </w:rPr>
        <w:t xml:space="preserve">5. </w:t>
      </w:r>
      <w:r w:rsidR="00185886">
        <w:rPr>
          <w:rFonts w:asciiTheme="majorHAnsi" w:hAnsiTheme="majorHAnsi" w:cs="Arial"/>
          <w:b/>
          <w:color w:val="222222"/>
          <w:lang w:eastAsia="es-AR"/>
        </w:rPr>
        <w:t xml:space="preserve">El </w:t>
      </w:r>
      <w:r w:rsidRPr="00536D2B">
        <w:rPr>
          <w:rFonts w:asciiTheme="majorHAnsi" w:hAnsiTheme="majorHAnsi" w:cs="Arial"/>
          <w:b/>
          <w:color w:val="222222"/>
          <w:lang w:eastAsia="es-AR"/>
        </w:rPr>
        <w:t xml:space="preserve">Tribunal </w:t>
      </w:r>
      <w:r w:rsidR="00185886">
        <w:rPr>
          <w:rFonts w:asciiTheme="majorHAnsi" w:hAnsiTheme="majorHAnsi" w:cs="Arial"/>
          <w:b/>
          <w:color w:val="222222"/>
          <w:lang w:eastAsia="es-AR"/>
        </w:rPr>
        <w:t xml:space="preserve">no </w:t>
      </w:r>
      <w:r w:rsidRPr="00536D2B">
        <w:rPr>
          <w:rFonts w:asciiTheme="majorHAnsi" w:hAnsiTheme="majorHAnsi" w:cs="Arial"/>
          <w:b/>
          <w:color w:val="222222"/>
          <w:lang w:eastAsia="es-AR"/>
        </w:rPr>
        <w:t>garantiza el carácter secreto y universal del voto</w:t>
      </w:r>
    </w:p>
    <w:p w:rsidR="00536D2B" w:rsidRPr="008E2328" w:rsidRDefault="00536D2B" w:rsidP="00190405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5</w:t>
      </w:r>
      <w:r w:rsidRPr="008E2328">
        <w:rPr>
          <w:rFonts w:asciiTheme="majorHAnsi" w:hAnsiTheme="majorHAnsi" w:cs="Arial"/>
          <w:i/>
          <w:color w:val="222222"/>
          <w:lang w:eastAsia="es-AR"/>
        </w:rPr>
        <w:t>.1 El principio</w:t>
      </w:r>
    </w:p>
    <w:p w:rsidR="00536D2B" w:rsidRPr="008E2328" w:rsidRDefault="00536D2B" w:rsidP="00190405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5</w:t>
      </w:r>
      <w:r w:rsidRPr="008E2328">
        <w:rPr>
          <w:rFonts w:asciiTheme="majorHAnsi" w:hAnsiTheme="majorHAnsi" w:cs="Arial"/>
          <w:i/>
          <w:color w:val="222222"/>
          <w:lang w:eastAsia="es-AR"/>
        </w:rPr>
        <w:t xml:space="preserve">.2 </w:t>
      </w:r>
      <w:r w:rsidR="00185886">
        <w:rPr>
          <w:rFonts w:asciiTheme="majorHAnsi" w:hAnsiTheme="majorHAnsi" w:cs="Arial"/>
          <w:i/>
          <w:color w:val="222222"/>
          <w:lang w:eastAsia="es-AR"/>
        </w:rPr>
        <w:t xml:space="preserve">El </w:t>
      </w:r>
      <w:r w:rsidRPr="008E2328">
        <w:rPr>
          <w:rFonts w:asciiTheme="majorHAnsi" w:hAnsiTheme="majorHAnsi" w:cs="Arial"/>
          <w:i/>
          <w:color w:val="222222"/>
          <w:lang w:eastAsia="es-AR"/>
        </w:rPr>
        <w:t>voto con boleta electrónica</w:t>
      </w:r>
      <w:r w:rsidR="00185886">
        <w:rPr>
          <w:rFonts w:asciiTheme="majorHAnsi" w:hAnsiTheme="majorHAnsi" w:cs="Arial"/>
          <w:i/>
          <w:color w:val="222222"/>
          <w:lang w:eastAsia="es-AR"/>
        </w:rPr>
        <w:t xml:space="preserve"> no es secreto</w:t>
      </w:r>
    </w:p>
    <w:p w:rsidR="00185886" w:rsidRPr="008E2328" w:rsidRDefault="00536D2B" w:rsidP="00190405">
      <w:pPr>
        <w:spacing w:after="120" w:line="240" w:lineRule="auto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>5</w:t>
      </w:r>
      <w:r w:rsidRPr="008E2328">
        <w:rPr>
          <w:rFonts w:asciiTheme="majorHAnsi" w:hAnsiTheme="majorHAnsi" w:cs="Arial"/>
          <w:i/>
          <w:color w:val="222222"/>
          <w:lang w:eastAsia="es-AR"/>
        </w:rPr>
        <w:t xml:space="preserve">.3 </w:t>
      </w:r>
      <w:r w:rsidR="00185886">
        <w:rPr>
          <w:rFonts w:asciiTheme="majorHAnsi" w:hAnsiTheme="majorHAnsi" w:cs="Arial"/>
          <w:i/>
          <w:color w:val="222222"/>
          <w:lang w:eastAsia="es-AR"/>
        </w:rPr>
        <w:t xml:space="preserve">El </w:t>
      </w:r>
      <w:r w:rsidR="00185886" w:rsidRPr="008E2328">
        <w:rPr>
          <w:rFonts w:asciiTheme="majorHAnsi" w:hAnsiTheme="majorHAnsi" w:cs="Arial"/>
          <w:i/>
          <w:color w:val="222222"/>
          <w:lang w:eastAsia="es-AR"/>
        </w:rPr>
        <w:t>voto con boleta electrónica</w:t>
      </w:r>
      <w:r w:rsidR="00185886">
        <w:rPr>
          <w:rFonts w:asciiTheme="majorHAnsi" w:hAnsiTheme="majorHAnsi" w:cs="Arial"/>
          <w:i/>
          <w:color w:val="222222"/>
          <w:lang w:eastAsia="es-AR"/>
        </w:rPr>
        <w:t xml:space="preserve"> no es universal </w:t>
      </w:r>
    </w:p>
    <w:p w:rsidR="00536D2B" w:rsidRPr="008E2328" w:rsidRDefault="00185886" w:rsidP="00190405">
      <w:pPr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>
        <w:rPr>
          <w:rFonts w:asciiTheme="majorHAnsi" w:hAnsiTheme="majorHAnsi" w:cs="Arial"/>
          <w:i/>
          <w:color w:val="222222"/>
          <w:lang w:eastAsia="es-AR"/>
        </w:rPr>
        <w:t xml:space="preserve">5.4 </w:t>
      </w:r>
      <w:r w:rsidR="00536D2B" w:rsidRPr="008E2328">
        <w:rPr>
          <w:rFonts w:asciiTheme="majorHAnsi" w:hAnsiTheme="majorHAnsi" w:cs="Arial"/>
          <w:i/>
          <w:color w:val="222222"/>
          <w:lang w:eastAsia="es-AR"/>
        </w:rPr>
        <w:t>Encuadre jurídico del sistema y de lo actuado por el Tribunal</w:t>
      </w:r>
    </w:p>
    <w:p w:rsidR="00E3377B" w:rsidRPr="008E2328" w:rsidRDefault="00E3377B" w:rsidP="00E3377B">
      <w:pPr>
        <w:shd w:val="clear" w:color="auto" w:fill="FFFFFF"/>
        <w:spacing w:after="120"/>
        <w:rPr>
          <w:rFonts w:asciiTheme="majorHAnsi" w:hAnsiTheme="majorHAnsi" w:cs="Arial"/>
          <w:b/>
          <w:color w:val="222222"/>
          <w:u w:val="single"/>
          <w:lang w:eastAsia="es-AR"/>
        </w:rPr>
      </w:pPr>
      <w:bookmarkStart w:id="0" w:name="_GoBack"/>
      <w:bookmarkEnd w:id="0"/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IV. PRUEBAS</w:t>
      </w:r>
    </w:p>
    <w:p w:rsidR="00E3377B" w:rsidRPr="008E2328" w:rsidRDefault="00E3377B" w:rsidP="00E3377B">
      <w:pPr>
        <w:shd w:val="clear" w:color="auto" w:fill="FFFFFF"/>
        <w:spacing w:after="120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V. DERECHO</w:t>
      </w:r>
    </w:p>
    <w:p w:rsidR="00E3377B" w:rsidRPr="008E2328" w:rsidRDefault="00E3377B" w:rsidP="00E3377B">
      <w:pPr>
        <w:shd w:val="clear" w:color="auto" w:fill="FFFFFF"/>
        <w:spacing w:after="120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VI. RESERVAS</w:t>
      </w:r>
    </w:p>
    <w:p w:rsidR="00E3377B" w:rsidRPr="008E2328" w:rsidRDefault="00E3377B" w:rsidP="00AB10DC">
      <w:pPr>
        <w:shd w:val="clear" w:color="auto" w:fill="CCC0D9" w:themeFill="accent4" w:themeFillTint="66"/>
        <w:spacing w:after="120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VII. RESUMEN</w:t>
      </w:r>
    </w:p>
    <w:p w:rsidR="00E3377B" w:rsidRPr="008E2328" w:rsidRDefault="00E3377B" w:rsidP="00E3377B">
      <w:pPr>
        <w:shd w:val="clear" w:color="auto" w:fill="FFFFFF"/>
        <w:spacing w:after="120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VIII. PETITORIO</w:t>
      </w:r>
    </w:p>
    <w:p w:rsidR="00E3377B" w:rsidRPr="008E2328" w:rsidRDefault="00E3377B" w:rsidP="00E3377B">
      <w:pPr>
        <w:shd w:val="clear" w:color="auto" w:fill="FFFFFF"/>
        <w:spacing w:after="120"/>
        <w:rPr>
          <w:rFonts w:asciiTheme="majorHAnsi" w:hAnsiTheme="majorHAnsi" w:cs="Arial"/>
          <w:b/>
          <w:color w:val="222222"/>
          <w:u w:val="single"/>
          <w:lang w:eastAsia="es-AR"/>
        </w:rPr>
      </w:pPr>
      <w:r w:rsidRPr="008E2328">
        <w:rPr>
          <w:rFonts w:asciiTheme="majorHAnsi" w:hAnsiTheme="majorHAnsi" w:cs="Arial"/>
          <w:b/>
          <w:color w:val="222222"/>
          <w:u w:val="single"/>
          <w:lang w:eastAsia="es-AR"/>
        </w:rPr>
        <w:t>OTROSI DECIMOS</w:t>
      </w:r>
    </w:p>
    <w:p w:rsidR="00437539" w:rsidRPr="008E2328" w:rsidRDefault="00437539" w:rsidP="00E3377B"/>
    <w:sectPr w:rsidR="00437539" w:rsidRPr="008E2328" w:rsidSect="00E3377B">
      <w:footerReference w:type="default" r:id="rId8"/>
      <w:pgSz w:w="11907" w:h="16840" w:code="9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C2" w:rsidRDefault="00327BC2" w:rsidP="00536D2B">
      <w:pPr>
        <w:spacing w:after="0" w:line="240" w:lineRule="auto"/>
      </w:pPr>
      <w:r>
        <w:separator/>
      </w:r>
    </w:p>
  </w:endnote>
  <w:endnote w:type="continuationSeparator" w:id="0">
    <w:p w:rsidR="00327BC2" w:rsidRDefault="00327BC2" w:rsidP="0053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007335"/>
      <w:docPartObj>
        <w:docPartGallery w:val="Page Numbers (Bottom of Page)"/>
        <w:docPartUnique/>
      </w:docPartObj>
    </w:sdtPr>
    <w:sdtEndPr/>
    <w:sdtContent>
      <w:p w:rsidR="00536D2B" w:rsidRDefault="00536D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05" w:rsidRPr="00190405">
          <w:rPr>
            <w:noProof/>
            <w:lang w:val="es-ES"/>
          </w:rPr>
          <w:t>1</w:t>
        </w:r>
        <w:r>
          <w:fldChar w:fldCharType="end"/>
        </w:r>
      </w:p>
    </w:sdtContent>
  </w:sdt>
  <w:p w:rsidR="00536D2B" w:rsidRDefault="00536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C2" w:rsidRDefault="00327BC2" w:rsidP="00536D2B">
      <w:pPr>
        <w:spacing w:after="0" w:line="240" w:lineRule="auto"/>
      </w:pPr>
      <w:r>
        <w:separator/>
      </w:r>
    </w:p>
  </w:footnote>
  <w:footnote w:type="continuationSeparator" w:id="0">
    <w:p w:rsidR="00327BC2" w:rsidRDefault="00327BC2" w:rsidP="0053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811"/>
    <w:multiLevelType w:val="hybridMultilevel"/>
    <w:tmpl w:val="64E8988C"/>
    <w:lvl w:ilvl="0" w:tplc="0460437C">
      <w:start w:val="1"/>
      <w:numFmt w:val="upperRoman"/>
      <w:lvlText w:val="%1."/>
      <w:lvlJc w:val="left"/>
      <w:pPr>
        <w:ind w:left="1080" w:hanging="72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2160"/>
    <w:multiLevelType w:val="hybridMultilevel"/>
    <w:tmpl w:val="C1126844"/>
    <w:lvl w:ilvl="0" w:tplc="E06E7DC8">
      <w:start w:val="3"/>
      <w:numFmt w:val="upperRoman"/>
      <w:lvlText w:val="%1."/>
      <w:lvlJc w:val="left"/>
      <w:pPr>
        <w:ind w:left="720" w:hanging="72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052B0"/>
    <w:multiLevelType w:val="hybridMultilevel"/>
    <w:tmpl w:val="64E8988C"/>
    <w:lvl w:ilvl="0" w:tplc="0460437C">
      <w:start w:val="1"/>
      <w:numFmt w:val="upperRoman"/>
      <w:lvlText w:val="%1."/>
      <w:lvlJc w:val="left"/>
      <w:pPr>
        <w:ind w:left="1080" w:hanging="72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6CA1"/>
    <w:multiLevelType w:val="hybridMultilevel"/>
    <w:tmpl w:val="64E8988C"/>
    <w:lvl w:ilvl="0" w:tplc="0460437C">
      <w:start w:val="1"/>
      <w:numFmt w:val="upperRoman"/>
      <w:lvlText w:val="%1."/>
      <w:lvlJc w:val="left"/>
      <w:pPr>
        <w:ind w:left="1080" w:hanging="72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7B"/>
    <w:rsid w:val="000572C4"/>
    <w:rsid w:val="00185886"/>
    <w:rsid w:val="00190405"/>
    <w:rsid w:val="002958B4"/>
    <w:rsid w:val="00295D76"/>
    <w:rsid w:val="00327BC2"/>
    <w:rsid w:val="00437539"/>
    <w:rsid w:val="00450363"/>
    <w:rsid w:val="004A5EE0"/>
    <w:rsid w:val="004C6DC3"/>
    <w:rsid w:val="00536D2B"/>
    <w:rsid w:val="005C2E6A"/>
    <w:rsid w:val="00627DD5"/>
    <w:rsid w:val="008E2328"/>
    <w:rsid w:val="00AB10DC"/>
    <w:rsid w:val="00CF53A0"/>
    <w:rsid w:val="00D20C3E"/>
    <w:rsid w:val="00E3377B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E2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2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36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D2B"/>
  </w:style>
  <w:style w:type="paragraph" w:styleId="Piedepgina">
    <w:name w:val="footer"/>
    <w:basedOn w:val="Normal"/>
    <w:link w:val="PiedepginaCar"/>
    <w:uiPriority w:val="99"/>
    <w:unhideWhenUsed/>
    <w:rsid w:val="00536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E2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2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36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D2B"/>
  </w:style>
  <w:style w:type="paragraph" w:styleId="Piedepgina">
    <w:name w:val="footer"/>
    <w:basedOn w:val="Normal"/>
    <w:link w:val="PiedepginaCar"/>
    <w:uiPriority w:val="99"/>
    <w:unhideWhenUsed/>
    <w:rsid w:val="00536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7</cp:revision>
  <cp:lastPrinted>2015-05-03T11:51:00Z</cp:lastPrinted>
  <dcterms:created xsi:type="dcterms:W3CDTF">2015-05-01T14:25:00Z</dcterms:created>
  <dcterms:modified xsi:type="dcterms:W3CDTF">2015-05-04T01:56:00Z</dcterms:modified>
</cp:coreProperties>
</file>