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B3" w:rsidRDefault="00FC27B3" w:rsidP="00FC27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FC27B3">
        <w:rPr>
          <w:rFonts w:asciiTheme="majorHAnsi" w:hAnsiTheme="majorHAnsi" w:cs="Courier"/>
          <w:i/>
          <w:sz w:val="24"/>
          <w:szCs w:val="24"/>
        </w:rPr>
        <w:t>29) Que, en razón de ello, corresponde exhortar a las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autoridades nacionales y provinciales a implementar y hacer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operativos, mediante normas del más alto nivel, protocolos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hospitalarios para la concreta atención de los abortos no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punibles a los efectos de remover todas las barreras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a</w:t>
      </w:r>
      <w:r w:rsidRPr="00FC27B3">
        <w:rPr>
          <w:rFonts w:asciiTheme="majorHAnsi" w:hAnsiTheme="majorHAnsi" w:cs="Courier"/>
          <w:i/>
          <w:sz w:val="24"/>
          <w:szCs w:val="24"/>
        </w:rPr>
        <w:t>dministrativas o fácticas al acceso a los servicios médicos. En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particular, deberán: contemplar pautas que garanticen la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información y la confidencialidad a la solicitante; evitar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procedimientos administrativos o períodos de espera que retrasen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innecesariamente la atención y disminuyan la seguridad de las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prácticas; eliminar requisitos que no estén médicamente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indicados; y articular mecanismos que permitan resolver, sin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 w:cs="Courier"/>
          <w:i/>
          <w:sz w:val="24"/>
          <w:szCs w:val="24"/>
        </w:rPr>
        <w:t>dilaciones y sin consecuencia para la salud de la solicitante</w:t>
      </w:r>
      <w:r w:rsidRPr="00FC27B3">
        <w:rPr>
          <w:rFonts w:asciiTheme="majorHAnsi" w:hAnsiTheme="majorHAnsi" w:cs="Courier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los eventuales desacuerdos que pudieran existir, entre el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profesional interviniente y la paciente, respecto de la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procedencia de la práctica médica requerida. Por otra parte,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deberá disponerse un adecuado sistema que permita al personal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</w:t>
      </w:r>
      <w:r w:rsidRPr="00FC27B3">
        <w:rPr>
          <w:rFonts w:asciiTheme="majorHAnsi" w:hAnsiTheme="majorHAnsi"/>
          <w:i/>
          <w:sz w:val="24"/>
          <w:szCs w:val="24"/>
        </w:rPr>
        <w:t>anitario ejercer su derecho de objeción de conciencia sin que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ello se traduzca en derivaciones o demoras que comprometan la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atención de la requirente del servicio. A tales efectos, deberá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 xml:space="preserve">exigirse que la objeción sea </w:t>
      </w:r>
      <w:r w:rsidRPr="00FC27B3">
        <w:rPr>
          <w:rFonts w:asciiTheme="majorHAnsi" w:hAnsiTheme="majorHAnsi"/>
          <w:i/>
          <w:sz w:val="24"/>
          <w:szCs w:val="24"/>
        </w:rPr>
        <w:t xml:space="preserve"> m</w:t>
      </w:r>
      <w:r w:rsidRPr="00FC27B3">
        <w:rPr>
          <w:rFonts w:asciiTheme="majorHAnsi" w:hAnsiTheme="majorHAnsi"/>
          <w:i/>
          <w:sz w:val="24"/>
          <w:szCs w:val="24"/>
        </w:rPr>
        <w:t>anifestada en el momento de la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implementación del protocolo o al inicio de las actividades en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el establecimiento de salud correspondiente, de forma tal que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toda institución que atienda a las situaciones aquí examinadas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cuente con recursos humanos suficientes para garantizar, en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forma permanente, el ejercicio de los derechos que la ley le</w:t>
      </w:r>
      <w:r w:rsidRPr="00FC27B3"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 xml:space="preserve">confiere a las </w:t>
      </w:r>
      <w:r w:rsidRPr="00FC27B3">
        <w:rPr>
          <w:rFonts w:asciiTheme="majorHAnsi" w:hAnsiTheme="majorHAnsi"/>
          <w:i/>
          <w:sz w:val="24"/>
          <w:szCs w:val="24"/>
        </w:rPr>
        <w:t>v</w:t>
      </w:r>
      <w:r w:rsidRPr="00FC27B3">
        <w:rPr>
          <w:rFonts w:asciiTheme="majorHAnsi" w:hAnsiTheme="majorHAnsi"/>
          <w:i/>
          <w:sz w:val="24"/>
          <w:szCs w:val="24"/>
        </w:rPr>
        <w:t>íctimas de violencia sexual.</w:t>
      </w:r>
    </w:p>
    <w:p w:rsidR="00FC27B3" w:rsidRDefault="00FC27B3" w:rsidP="00FC27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C27B3" w:rsidRDefault="00FC27B3" w:rsidP="00FC27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FC27B3">
        <w:rPr>
          <w:rFonts w:asciiTheme="majorHAnsi" w:hAnsiTheme="majorHAnsi"/>
          <w:i/>
          <w:sz w:val="24"/>
          <w:szCs w:val="24"/>
        </w:rPr>
        <w:t>F. 259. XLVI.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F., A. L. s/ medida autosatisfactiva.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FC27B3">
        <w:rPr>
          <w:rFonts w:asciiTheme="majorHAnsi" w:hAnsiTheme="majorHAnsi"/>
          <w:i/>
          <w:sz w:val="24"/>
          <w:szCs w:val="24"/>
        </w:rPr>
        <w:t>Buenos Aires, 13 de marzo de 2012</w:t>
      </w:r>
    </w:p>
    <w:p w:rsidR="0060493D" w:rsidRDefault="0060493D" w:rsidP="00FC27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60493D" w:rsidRPr="00FC27B3" w:rsidRDefault="0060493D" w:rsidP="00FC27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 Que esta Corte ha señalado que el tribunal “a quo” no debe limitarse a denegar o conceder </w:t>
      </w:r>
      <w:proofErr w:type="spellStart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>mecanicamente</w:t>
      </w:r>
      <w:proofErr w:type="spellEnd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el recurso de inconstitucionalidad sino que, valorando los agravios desde la </w:t>
      </w:r>
      <w:proofErr w:type="spellStart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>optica</w:t>
      </w:r>
      <w:proofErr w:type="spellEnd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del recurrente, debe efectuar un juicio de probabilidad sobre la </w:t>
      </w:r>
      <w:proofErr w:type="spellStart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>afectacion</w:t>
      </w:r>
      <w:proofErr w:type="spellEnd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de principios constitucionales (Tomo 56:177; 60: 219; 79:363; 106:389). A la luz de dicho criterio, los agravios expuestos por el impugnante han de ser valorados en abstracto, sin perderse de vista los derechos de </w:t>
      </w:r>
      <w:proofErr w:type="spellStart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>jerarquia</w:t>
      </w:r>
      <w:proofErr w:type="spellEnd"/>
      <w:r w:rsidRPr="00F1543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constitucional que se dicen infringidos (Tomo 44:389; 62:526; 65:761; 79:363; 114:913, entre muchos otros)</w:t>
      </w:r>
      <w:bookmarkStart w:id="0" w:name="_GoBack"/>
      <w:bookmarkEnd w:id="0"/>
    </w:p>
    <w:sectPr w:rsidR="0060493D" w:rsidRPr="00FC27B3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B3"/>
    <w:rsid w:val="00295D76"/>
    <w:rsid w:val="00437539"/>
    <w:rsid w:val="004A5EE0"/>
    <w:rsid w:val="004C6DC3"/>
    <w:rsid w:val="0060493D"/>
    <w:rsid w:val="00627DD5"/>
    <w:rsid w:val="00680EAB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2015-05-21T22:57:00Z</dcterms:created>
  <dcterms:modified xsi:type="dcterms:W3CDTF">2015-05-22T00:29:00Z</dcterms:modified>
</cp:coreProperties>
</file>