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39" w:rsidRPr="00D15D32" w:rsidRDefault="005C3917" w:rsidP="00D15D32">
      <w:pPr>
        <w:pStyle w:val="Ttulo"/>
        <w:rPr>
          <w:sz w:val="44"/>
          <w:szCs w:val="44"/>
        </w:rPr>
      </w:pPr>
      <w:r w:rsidRPr="00D15D32">
        <w:rPr>
          <w:sz w:val="44"/>
          <w:szCs w:val="44"/>
        </w:rPr>
        <w:t xml:space="preserve">OBSERVACIONES </w:t>
      </w:r>
      <w:r w:rsidR="00D15D32" w:rsidRPr="00D15D32">
        <w:rPr>
          <w:sz w:val="44"/>
          <w:szCs w:val="44"/>
        </w:rPr>
        <w:t xml:space="preserve">PRELIMINARES </w:t>
      </w:r>
      <w:r w:rsidRPr="00D15D32">
        <w:rPr>
          <w:sz w:val="44"/>
          <w:szCs w:val="44"/>
        </w:rPr>
        <w:t>QUE SURGEN DE LA LECTURA DEL PLIEGO DE LICITACIÓN</w:t>
      </w:r>
    </w:p>
    <w:p w:rsidR="005C3917" w:rsidRPr="00D07561" w:rsidRDefault="005C3917" w:rsidP="00D07561">
      <w:pPr>
        <w:pStyle w:val="Prrafodelista"/>
        <w:numPr>
          <w:ilvl w:val="0"/>
          <w:numId w:val="9"/>
        </w:numPr>
        <w:jc w:val="both"/>
        <w:rPr>
          <w:rFonts w:asciiTheme="majorHAnsi" w:hAnsiTheme="majorHAnsi"/>
        </w:rPr>
      </w:pPr>
      <w:r w:rsidRPr="00D07561">
        <w:rPr>
          <w:rFonts w:asciiTheme="majorHAnsi" w:hAnsiTheme="majorHAnsi"/>
        </w:rPr>
        <w:t>Quién contrata es el Tribunal Electoral (artículo 1)</w:t>
      </w:r>
    </w:p>
    <w:p w:rsidR="005C3917" w:rsidRPr="00D07561" w:rsidRDefault="005C3917" w:rsidP="00D07561">
      <w:pPr>
        <w:pStyle w:val="Prrafodelista"/>
        <w:numPr>
          <w:ilvl w:val="0"/>
          <w:numId w:val="9"/>
        </w:numPr>
        <w:jc w:val="both"/>
        <w:rPr>
          <w:rFonts w:asciiTheme="majorHAnsi" w:hAnsiTheme="majorHAnsi"/>
        </w:rPr>
      </w:pPr>
      <w:r w:rsidRPr="00D07561">
        <w:rPr>
          <w:rFonts w:asciiTheme="majorHAnsi" w:hAnsiTheme="majorHAnsi"/>
        </w:rPr>
        <w:t>La normativa aplicable “ante situaciones no previstas” y de “aplicación prioritaria en caso de divergencia o colisión” incluye la Ley 6.444/87 (Código Electoral de la Provincia) (Artículo 3).</w:t>
      </w:r>
    </w:p>
    <w:p w:rsidR="005C3917" w:rsidRPr="00D07561" w:rsidRDefault="005C3917" w:rsidP="00D07561">
      <w:pPr>
        <w:pStyle w:val="Prrafodelista"/>
        <w:numPr>
          <w:ilvl w:val="0"/>
          <w:numId w:val="9"/>
        </w:numPr>
        <w:jc w:val="both"/>
        <w:rPr>
          <w:rFonts w:asciiTheme="majorHAnsi" w:hAnsiTheme="majorHAnsi"/>
        </w:rPr>
      </w:pPr>
      <w:r w:rsidRPr="00D07561">
        <w:rPr>
          <w:rFonts w:asciiTheme="majorHAnsi" w:hAnsiTheme="majorHAnsi"/>
        </w:rPr>
        <w:t>El sistema de voto electrónico (SVE) debe respetar las normas legales vigentes (2.1).</w:t>
      </w:r>
    </w:p>
    <w:p w:rsidR="005C3917" w:rsidRPr="00D07561" w:rsidRDefault="005C3917" w:rsidP="00D07561">
      <w:pPr>
        <w:pStyle w:val="Prrafodelista"/>
        <w:numPr>
          <w:ilvl w:val="0"/>
          <w:numId w:val="9"/>
        </w:numPr>
        <w:jc w:val="both"/>
        <w:rPr>
          <w:rFonts w:asciiTheme="majorHAnsi" w:hAnsiTheme="majorHAnsi"/>
        </w:rPr>
      </w:pPr>
      <w:r w:rsidRPr="00D07561">
        <w:rPr>
          <w:rFonts w:asciiTheme="majorHAnsi" w:hAnsiTheme="majorHAnsi"/>
        </w:rPr>
        <w:t>El Soporte Documental (o sea la “tarjeta”) debe garantizar “el escrutinio manual y electrónico” (2.5.d). “…permitiendo eventualmente el recuento manual” (3.b, 4).</w:t>
      </w:r>
    </w:p>
    <w:p w:rsidR="005C3917" w:rsidRPr="00D07561" w:rsidRDefault="005C3917" w:rsidP="00D07561">
      <w:pPr>
        <w:pStyle w:val="Prrafodelista"/>
        <w:numPr>
          <w:ilvl w:val="0"/>
          <w:numId w:val="9"/>
        </w:numPr>
        <w:jc w:val="both"/>
        <w:rPr>
          <w:rFonts w:asciiTheme="majorHAnsi" w:hAnsiTheme="majorHAnsi"/>
        </w:rPr>
      </w:pPr>
      <w:r w:rsidRPr="00D07561">
        <w:rPr>
          <w:rFonts w:asciiTheme="majorHAnsi" w:hAnsiTheme="majorHAnsi"/>
        </w:rPr>
        <w:t>La empresa ha de presentar una “Memoria Descriptiva Técnica” (5.2)</w:t>
      </w:r>
    </w:p>
    <w:p w:rsidR="005C3917" w:rsidRPr="00D07561" w:rsidRDefault="005C3917" w:rsidP="00D07561">
      <w:pPr>
        <w:pStyle w:val="Prrafodelista"/>
        <w:numPr>
          <w:ilvl w:val="0"/>
          <w:numId w:val="9"/>
        </w:numPr>
        <w:jc w:val="both"/>
        <w:rPr>
          <w:rFonts w:asciiTheme="majorHAnsi" w:hAnsiTheme="majorHAnsi"/>
        </w:rPr>
      </w:pPr>
      <w:r w:rsidRPr="00D07561">
        <w:rPr>
          <w:rFonts w:asciiTheme="majorHAnsi" w:hAnsiTheme="majorHAnsi"/>
        </w:rPr>
        <w:t>Deberá también presentar “niveles de seguridad, fiabilidad y auditabilidad de cada uno de los sistemas ofertados” (5.7).</w:t>
      </w:r>
    </w:p>
    <w:p w:rsidR="00396942" w:rsidRPr="00D07561" w:rsidRDefault="00132854" w:rsidP="00D15D32">
      <w:pPr>
        <w:pStyle w:val="Ttulo"/>
        <w:numPr>
          <w:ilvl w:val="0"/>
          <w:numId w:val="6"/>
        </w:numPr>
        <w:rPr>
          <w:sz w:val="32"/>
          <w:szCs w:val="32"/>
        </w:rPr>
      </w:pPr>
      <w:r w:rsidRPr="00D07561">
        <w:rPr>
          <w:sz w:val="32"/>
          <w:szCs w:val="32"/>
        </w:rPr>
        <w:t>CODIGO FUENTE Y SOFTWARE</w:t>
      </w:r>
    </w:p>
    <w:p w:rsidR="00132854" w:rsidRPr="00D15D32" w:rsidRDefault="00132854" w:rsidP="00D15D32">
      <w:pPr>
        <w:pStyle w:val="Prrafodelista"/>
        <w:numPr>
          <w:ilvl w:val="0"/>
          <w:numId w:val="7"/>
        </w:numPr>
        <w:autoSpaceDE w:val="0"/>
        <w:autoSpaceDN w:val="0"/>
        <w:adjustRightInd w:val="0"/>
        <w:spacing w:after="120" w:line="240" w:lineRule="auto"/>
        <w:ind w:left="714" w:hanging="357"/>
        <w:contextualSpacing w:val="0"/>
        <w:rPr>
          <w:rFonts w:asciiTheme="majorHAnsi" w:hAnsiTheme="majorHAnsi" w:cs="Verdana"/>
          <w:b/>
          <w:sz w:val="20"/>
          <w:szCs w:val="20"/>
        </w:rPr>
      </w:pPr>
      <w:r w:rsidRPr="00D15D32">
        <w:rPr>
          <w:rFonts w:asciiTheme="majorHAnsi" w:hAnsiTheme="majorHAnsi" w:cs="Verdana"/>
          <w:b/>
          <w:sz w:val="20"/>
          <w:szCs w:val="20"/>
        </w:rPr>
        <w:t>EL PLIEGO PREVÉ LA AUDITORIA DE LAS FUERZAS POLÍTICAS</w:t>
      </w:r>
    </w:p>
    <w:p w:rsidR="00396942" w:rsidRPr="00D15D32" w:rsidRDefault="00132854" w:rsidP="00D15D32">
      <w:pPr>
        <w:pStyle w:val="Prrafodelista"/>
        <w:numPr>
          <w:ilvl w:val="0"/>
          <w:numId w:val="8"/>
        </w:numPr>
        <w:autoSpaceDE w:val="0"/>
        <w:autoSpaceDN w:val="0"/>
        <w:adjustRightInd w:val="0"/>
        <w:spacing w:after="120" w:line="240" w:lineRule="auto"/>
        <w:ind w:left="714" w:hanging="357"/>
        <w:contextualSpacing w:val="0"/>
        <w:rPr>
          <w:rFonts w:asciiTheme="majorHAnsi" w:hAnsiTheme="majorHAnsi" w:cs="Verdana"/>
          <w:i/>
          <w:sz w:val="20"/>
          <w:szCs w:val="20"/>
        </w:rPr>
      </w:pPr>
      <w:r w:rsidRPr="00D15D32">
        <w:rPr>
          <w:rFonts w:asciiTheme="majorHAnsi" w:hAnsiTheme="majorHAnsi" w:cs="Verdana"/>
          <w:i/>
          <w:sz w:val="20"/>
          <w:szCs w:val="20"/>
        </w:rPr>
        <w:t>“</w:t>
      </w:r>
      <w:r w:rsidR="00396942" w:rsidRPr="00D15D32">
        <w:rPr>
          <w:rFonts w:asciiTheme="majorHAnsi" w:hAnsiTheme="majorHAnsi" w:cs="Verdana"/>
          <w:i/>
          <w:sz w:val="20"/>
          <w:szCs w:val="20"/>
        </w:rPr>
        <w:t xml:space="preserve">10.4.2.1. </w:t>
      </w:r>
      <w:r w:rsidR="00396942" w:rsidRPr="00D15D32">
        <w:rPr>
          <w:rFonts w:asciiTheme="majorHAnsi" w:hAnsiTheme="majorHAnsi" w:cs="Verdana"/>
          <w:i/>
          <w:sz w:val="20"/>
          <w:szCs w:val="20"/>
          <w:u w:val="double"/>
        </w:rPr>
        <w:t>Deberá ser desarrollado bajo estándares abiertos</w:t>
      </w:r>
      <w:r w:rsidR="00396942" w:rsidRPr="00D15D32">
        <w:rPr>
          <w:rFonts w:asciiTheme="majorHAnsi" w:hAnsiTheme="majorHAnsi" w:cs="Verdana"/>
          <w:i/>
          <w:sz w:val="20"/>
          <w:szCs w:val="20"/>
        </w:rPr>
        <w:t xml:space="preserve">. El Adjudicatario deberá poner el </w:t>
      </w:r>
      <w:r w:rsidR="00396942" w:rsidRPr="00D15D32">
        <w:rPr>
          <w:rFonts w:asciiTheme="majorHAnsi" w:hAnsiTheme="majorHAnsi" w:cs="Verdana"/>
          <w:i/>
          <w:sz w:val="20"/>
          <w:szCs w:val="20"/>
          <w:u w:val="double"/>
        </w:rPr>
        <w:t>código del mencionado Software</w:t>
      </w:r>
      <w:r w:rsidR="00396942" w:rsidRPr="00D15D32">
        <w:rPr>
          <w:rFonts w:asciiTheme="majorHAnsi" w:hAnsiTheme="majorHAnsi" w:cs="Verdana"/>
          <w:i/>
          <w:sz w:val="20"/>
          <w:szCs w:val="20"/>
        </w:rPr>
        <w:t xml:space="preserve"> a disposición del Tribunal, con el fin de que se encuentre disponible para ser analizado por los representantes de las fuerzas políticas que puedan requerirlo y por el propio Tribunal. El Tribunal y los representantes de las fuerzas políticas no podrán poner a disposición del público general el mencionado</w:t>
      </w:r>
      <w:r w:rsidRPr="00D15D32">
        <w:rPr>
          <w:rFonts w:asciiTheme="majorHAnsi" w:hAnsiTheme="majorHAnsi" w:cs="Verdana"/>
          <w:i/>
          <w:sz w:val="20"/>
          <w:szCs w:val="20"/>
        </w:rPr>
        <w:t xml:space="preserve"> código.”</w:t>
      </w:r>
    </w:p>
    <w:p w:rsidR="00396942" w:rsidRPr="00132854" w:rsidRDefault="00132854" w:rsidP="00D15D32">
      <w:pPr>
        <w:shd w:val="clear" w:color="auto" w:fill="D6E3BC" w:themeFill="accent3" w:themeFillTint="66"/>
        <w:jc w:val="both"/>
        <w:rPr>
          <w:rFonts w:asciiTheme="majorHAnsi" w:hAnsiTheme="majorHAnsi"/>
        </w:rPr>
      </w:pPr>
      <w:r w:rsidRPr="00132854">
        <w:rPr>
          <w:rFonts w:asciiTheme="majorHAnsi" w:hAnsiTheme="majorHAnsi"/>
        </w:rPr>
        <w:t>El párrafo habla de “estándares abiertos” y de acceso al “código fuente”. Pese a que la empresa sabe que está obligada a este acceso, el Tribunal Electoral lo impide.</w:t>
      </w:r>
    </w:p>
    <w:p w:rsidR="00132854" w:rsidRPr="00132854" w:rsidRDefault="00132854" w:rsidP="00D15D32">
      <w:pPr>
        <w:shd w:val="clear" w:color="auto" w:fill="D6E3BC" w:themeFill="accent3" w:themeFillTint="66"/>
        <w:autoSpaceDE w:val="0"/>
        <w:autoSpaceDN w:val="0"/>
        <w:adjustRightInd w:val="0"/>
        <w:spacing w:after="120" w:line="240" w:lineRule="auto"/>
        <w:jc w:val="both"/>
        <w:rPr>
          <w:rFonts w:asciiTheme="majorHAnsi" w:hAnsiTheme="majorHAnsi" w:cs="Verdana"/>
        </w:rPr>
      </w:pPr>
      <w:r w:rsidRPr="00132854">
        <w:rPr>
          <w:rFonts w:asciiTheme="majorHAnsi" w:hAnsiTheme="majorHAnsi" w:cs="Verdana"/>
        </w:rPr>
        <w:t xml:space="preserve">Lo mismo establece respecto del </w:t>
      </w:r>
      <w:r w:rsidRPr="00132854">
        <w:rPr>
          <w:rFonts w:asciiTheme="majorHAnsi" w:hAnsiTheme="majorHAnsi" w:cs="Verdana"/>
        </w:rPr>
        <w:t>Software de Escrutinio de Mesa</w:t>
      </w:r>
      <w:r w:rsidRPr="00132854">
        <w:rPr>
          <w:rFonts w:asciiTheme="majorHAnsi" w:hAnsiTheme="majorHAnsi" w:cs="Verdana"/>
        </w:rPr>
        <w:t xml:space="preserve"> (10.5) y del </w:t>
      </w:r>
      <w:r w:rsidRPr="00132854">
        <w:rPr>
          <w:rFonts w:asciiTheme="majorHAnsi" w:hAnsiTheme="majorHAnsi" w:cs="Verdana"/>
        </w:rPr>
        <w:t>Software de Transmisión de Resultados</w:t>
      </w:r>
      <w:r w:rsidRPr="00132854">
        <w:rPr>
          <w:rFonts w:asciiTheme="majorHAnsi" w:hAnsiTheme="majorHAnsi" w:cs="Verdana"/>
        </w:rPr>
        <w:t xml:space="preserve"> (10.6).</w:t>
      </w:r>
    </w:p>
    <w:p w:rsidR="00132854" w:rsidRPr="00132854" w:rsidRDefault="00132854" w:rsidP="00D15D32">
      <w:pPr>
        <w:shd w:val="clear" w:color="auto" w:fill="D6E3BC" w:themeFill="accent3" w:themeFillTint="66"/>
        <w:autoSpaceDE w:val="0"/>
        <w:autoSpaceDN w:val="0"/>
        <w:adjustRightInd w:val="0"/>
        <w:spacing w:after="120" w:line="240" w:lineRule="auto"/>
        <w:jc w:val="both"/>
        <w:rPr>
          <w:rFonts w:asciiTheme="majorHAnsi" w:hAnsiTheme="majorHAnsi" w:cs="Verdana"/>
        </w:rPr>
      </w:pPr>
      <w:proofErr w:type="gramStart"/>
      <w:r>
        <w:rPr>
          <w:rFonts w:asciiTheme="majorHAnsi" w:hAnsiTheme="majorHAnsi" w:cs="Verdana"/>
        </w:rPr>
        <w:t>¿</w:t>
      </w:r>
      <w:proofErr w:type="gramEnd"/>
      <w:r>
        <w:rPr>
          <w:rFonts w:asciiTheme="majorHAnsi" w:hAnsiTheme="majorHAnsi" w:cs="Verdana"/>
        </w:rPr>
        <w:t xml:space="preserve">Cómo explica el Tribunal Electoral la negativa a este triple acceso” (que, además de estar en la Ley 7.730/12, figura en el Pliego). </w:t>
      </w:r>
    </w:p>
    <w:p w:rsidR="00396942" w:rsidRPr="00D07561" w:rsidRDefault="00396942" w:rsidP="00D15D32">
      <w:pPr>
        <w:pStyle w:val="Ttulo"/>
        <w:numPr>
          <w:ilvl w:val="0"/>
          <w:numId w:val="6"/>
        </w:numPr>
        <w:rPr>
          <w:sz w:val="32"/>
          <w:szCs w:val="32"/>
        </w:rPr>
      </w:pPr>
      <w:r w:rsidRPr="00D07561">
        <w:rPr>
          <w:sz w:val="32"/>
          <w:szCs w:val="32"/>
        </w:rPr>
        <w:t>ESCRUTINIO DE MESA Y PROVISORIO</w:t>
      </w:r>
    </w:p>
    <w:p w:rsidR="005C3917" w:rsidRPr="00D15D32" w:rsidRDefault="005C3917" w:rsidP="00D15D32">
      <w:pPr>
        <w:pStyle w:val="Prrafodelista"/>
        <w:numPr>
          <w:ilvl w:val="0"/>
          <w:numId w:val="7"/>
        </w:numPr>
        <w:autoSpaceDE w:val="0"/>
        <w:autoSpaceDN w:val="0"/>
        <w:adjustRightInd w:val="0"/>
        <w:spacing w:after="120" w:line="240" w:lineRule="auto"/>
        <w:rPr>
          <w:rFonts w:asciiTheme="majorHAnsi" w:hAnsiTheme="majorHAnsi" w:cs="Verdana"/>
          <w:b/>
          <w:sz w:val="20"/>
          <w:szCs w:val="20"/>
        </w:rPr>
      </w:pPr>
      <w:r w:rsidRPr="00D15D32">
        <w:rPr>
          <w:rFonts w:asciiTheme="majorHAnsi" w:hAnsiTheme="majorHAnsi" w:cs="Verdana"/>
          <w:b/>
          <w:sz w:val="20"/>
          <w:szCs w:val="20"/>
        </w:rPr>
        <w:t>EL PLIEGO ELIMINA EL RECUENTO MANUAL</w:t>
      </w:r>
    </w:p>
    <w:p w:rsidR="005C3917" w:rsidRPr="00D15D32" w:rsidRDefault="00396942" w:rsidP="00D15D32">
      <w:pPr>
        <w:pStyle w:val="Prrafodelista"/>
        <w:numPr>
          <w:ilvl w:val="0"/>
          <w:numId w:val="8"/>
        </w:numPr>
        <w:autoSpaceDE w:val="0"/>
        <w:autoSpaceDN w:val="0"/>
        <w:adjustRightInd w:val="0"/>
        <w:spacing w:after="120" w:line="240" w:lineRule="auto"/>
        <w:jc w:val="both"/>
        <w:rPr>
          <w:rFonts w:asciiTheme="majorHAnsi" w:hAnsiTheme="majorHAnsi" w:cs="Verdana"/>
          <w:i/>
          <w:sz w:val="20"/>
          <w:szCs w:val="20"/>
        </w:rPr>
      </w:pPr>
      <w:r w:rsidRPr="00D15D32">
        <w:rPr>
          <w:rFonts w:asciiTheme="majorHAnsi" w:hAnsiTheme="majorHAnsi" w:cs="Verdana"/>
          <w:i/>
          <w:sz w:val="20"/>
          <w:szCs w:val="20"/>
        </w:rPr>
        <w:t>“</w:t>
      </w:r>
      <w:r w:rsidR="005C3917" w:rsidRPr="00D15D32">
        <w:rPr>
          <w:rFonts w:asciiTheme="majorHAnsi" w:hAnsiTheme="majorHAnsi" w:cs="Verdana"/>
          <w:i/>
          <w:sz w:val="20"/>
          <w:szCs w:val="20"/>
        </w:rPr>
        <w:t>8.2.1. El escrutinio de mesa deberá ser realizado de manera automatizada y rápida, mediante la lectura de los SD por los dispositivos dispuestos al efecto en cada una de las mesas electorales. El recuento deberá ser realizado por las mismas Terminales de Votación utilizadas para emitir el sufragio, o bien por otros dispositivos empleados a tal fin (en adelante, “Dispositivos de Escrutinio de Mesa”)</w:t>
      </w:r>
      <w:r w:rsidRPr="00D15D32">
        <w:rPr>
          <w:rFonts w:asciiTheme="majorHAnsi" w:hAnsiTheme="majorHAnsi" w:cs="Verdana"/>
          <w:i/>
          <w:sz w:val="20"/>
          <w:szCs w:val="20"/>
        </w:rPr>
        <w:t>”</w:t>
      </w:r>
      <w:r w:rsidR="005C3917" w:rsidRPr="00D15D32">
        <w:rPr>
          <w:rFonts w:asciiTheme="majorHAnsi" w:hAnsiTheme="majorHAnsi" w:cs="Verdana"/>
          <w:i/>
          <w:sz w:val="20"/>
          <w:szCs w:val="20"/>
        </w:rPr>
        <w:t>.</w:t>
      </w:r>
    </w:p>
    <w:p w:rsidR="00396942" w:rsidRPr="00D15D32" w:rsidRDefault="00396942" w:rsidP="00D15D32">
      <w:pPr>
        <w:pStyle w:val="Prrafodelista"/>
        <w:numPr>
          <w:ilvl w:val="0"/>
          <w:numId w:val="7"/>
        </w:numPr>
        <w:autoSpaceDE w:val="0"/>
        <w:autoSpaceDN w:val="0"/>
        <w:adjustRightInd w:val="0"/>
        <w:spacing w:after="120" w:line="240" w:lineRule="auto"/>
        <w:jc w:val="both"/>
        <w:rPr>
          <w:rFonts w:asciiTheme="majorHAnsi" w:hAnsiTheme="majorHAnsi" w:cs="Verdana"/>
          <w:b/>
          <w:sz w:val="20"/>
          <w:szCs w:val="20"/>
        </w:rPr>
      </w:pPr>
      <w:r w:rsidRPr="00D15D32">
        <w:rPr>
          <w:rFonts w:asciiTheme="majorHAnsi" w:hAnsiTheme="majorHAnsi" w:cs="Verdana"/>
          <w:b/>
          <w:sz w:val="20"/>
          <w:szCs w:val="20"/>
        </w:rPr>
        <w:t>EL PLIEGO ELIMINA A LOS FISCALES</w:t>
      </w:r>
    </w:p>
    <w:p w:rsidR="00D15D32" w:rsidRPr="00D15D32" w:rsidRDefault="00396942" w:rsidP="00D15D32">
      <w:pPr>
        <w:pStyle w:val="Prrafodelista"/>
        <w:numPr>
          <w:ilvl w:val="0"/>
          <w:numId w:val="8"/>
        </w:numPr>
        <w:autoSpaceDE w:val="0"/>
        <w:autoSpaceDN w:val="0"/>
        <w:adjustRightInd w:val="0"/>
        <w:spacing w:after="120" w:line="240" w:lineRule="auto"/>
        <w:jc w:val="both"/>
        <w:rPr>
          <w:rFonts w:asciiTheme="majorHAnsi" w:hAnsiTheme="majorHAnsi" w:cs="Verdana"/>
          <w:i/>
          <w:sz w:val="20"/>
          <w:szCs w:val="20"/>
        </w:rPr>
      </w:pPr>
      <w:r w:rsidRPr="00D15D32">
        <w:rPr>
          <w:rFonts w:asciiTheme="majorHAnsi" w:hAnsiTheme="majorHAnsi" w:cs="Verdana"/>
          <w:i/>
          <w:sz w:val="20"/>
          <w:szCs w:val="20"/>
        </w:rPr>
        <w:lastRenderedPageBreak/>
        <w:t xml:space="preserve">8.2.5. Finalizado el proceso de lectura de la totalidad de los SD obrantes en una urna, </w:t>
      </w:r>
      <w:r w:rsidRPr="00D15D32">
        <w:rPr>
          <w:rFonts w:asciiTheme="majorHAnsi" w:hAnsiTheme="majorHAnsi" w:cs="Verdana"/>
          <w:i/>
          <w:sz w:val="20"/>
          <w:szCs w:val="20"/>
          <w:u w:val="single"/>
        </w:rPr>
        <w:t>el sistema imprimirá el Acta de Escrutinio de Mesa</w:t>
      </w:r>
      <w:r w:rsidRPr="00D15D32">
        <w:rPr>
          <w:rFonts w:asciiTheme="majorHAnsi" w:hAnsiTheme="majorHAnsi" w:cs="Verdana"/>
          <w:i/>
          <w:sz w:val="20"/>
          <w:szCs w:val="20"/>
        </w:rPr>
        <w:t>, la que también deberá disponer de un registro electrónico destinado a tal fin.</w:t>
      </w:r>
    </w:p>
    <w:p w:rsidR="00396942" w:rsidRPr="00D15D32" w:rsidRDefault="00396942" w:rsidP="00D15D32">
      <w:pPr>
        <w:pStyle w:val="Prrafodelista"/>
        <w:numPr>
          <w:ilvl w:val="0"/>
          <w:numId w:val="8"/>
        </w:numPr>
        <w:autoSpaceDE w:val="0"/>
        <w:autoSpaceDN w:val="0"/>
        <w:adjustRightInd w:val="0"/>
        <w:spacing w:after="120" w:line="240" w:lineRule="auto"/>
        <w:jc w:val="both"/>
        <w:rPr>
          <w:rFonts w:asciiTheme="majorHAnsi" w:hAnsiTheme="majorHAnsi" w:cs="Verdana"/>
          <w:i/>
          <w:sz w:val="20"/>
          <w:szCs w:val="20"/>
        </w:rPr>
      </w:pPr>
      <w:r w:rsidRPr="00D15D32">
        <w:rPr>
          <w:rFonts w:asciiTheme="majorHAnsi" w:hAnsiTheme="majorHAnsi" w:cs="Verdana"/>
          <w:i/>
          <w:sz w:val="20"/>
          <w:szCs w:val="20"/>
        </w:rPr>
        <w:t xml:space="preserve">8.2.6. El sistema imprimirá además el </w:t>
      </w:r>
      <w:r w:rsidRPr="00D15D32">
        <w:rPr>
          <w:rFonts w:asciiTheme="majorHAnsi" w:hAnsiTheme="majorHAnsi" w:cs="Verdana"/>
          <w:i/>
          <w:sz w:val="20"/>
          <w:szCs w:val="20"/>
          <w:u w:val="single"/>
        </w:rPr>
        <w:t>Certificado de Escrutinio de Mesa</w:t>
      </w:r>
      <w:r w:rsidRPr="00D15D32">
        <w:rPr>
          <w:rFonts w:asciiTheme="majorHAnsi" w:hAnsiTheme="majorHAnsi" w:cs="Verdana"/>
          <w:i/>
          <w:sz w:val="20"/>
          <w:szCs w:val="20"/>
        </w:rPr>
        <w:t xml:space="preserve">, con el fin de que pueda </w:t>
      </w:r>
      <w:r w:rsidRPr="00D15D32">
        <w:rPr>
          <w:rFonts w:asciiTheme="majorHAnsi" w:hAnsiTheme="majorHAnsi" w:cs="Verdana"/>
          <w:i/>
          <w:sz w:val="20"/>
          <w:szCs w:val="20"/>
          <w:u w:val="single"/>
        </w:rPr>
        <w:t>ser firmado</w:t>
      </w:r>
      <w:r w:rsidRPr="00D15D32">
        <w:rPr>
          <w:rFonts w:asciiTheme="majorHAnsi" w:hAnsiTheme="majorHAnsi" w:cs="Verdana"/>
          <w:i/>
          <w:sz w:val="20"/>
          <w:szCs w:val="20"/>
        </w:rPr>
        <w:t xml:space="preserve"> y remitido a la Justicia Electoral </w:t>
      </w:r>
      <w:r w:rsidRPr="00D15D32">
        <w:rPr>
          <w:rFonts w:asciiTheme="majorHAnsi" w:hAnsiTheme="majorHAnsi" w:cs="Verdana"/>
          <w:i/>
          <w:sz w:val="20"/>
          <w:szCs w:val="20"/>
          <w:u w:val="single"/>
        </w:rPr>
        <w:t>por las autoridades de mesa,</w:t>
      </w:r>
      <w:r w:rsidRPr="00D15D32">
        <w:rPr>
          <w:rFonts w:asciiTheme="majorHAnsi" w:hAnsiTheme="majorHAnsi" w:cs="Verdana"/>
          <w:i/>
          <w:sz w:val="20"/>
          <w:szCs w:val="20"/>
        </w:rPr>
        <w:t xml:space="preserve"> junto con todo el material utilizado, incluyendo los SD, a través del Operador Logístico encargado del repliegue. Asimismo, imprimirá </w:t>
      </w:r>
      <w:r w:rsidRPr="00D15D32">
        <w:rPr>
          <w:rFonts w:asciiTheme="majorHAnsi" w:hAnsiTheme="majorHAnsi" w:cs="Verdana"/>
          <w:i/>
          <w:sz w:val="20"/>
          <w:szCs w:val="20"/>
          <w:u w:val="single"/>
        </w:rPr>
        <w:t>copias de la mencionada documentación, destinada a cada uno de los fiscales</w:t>
      </w:r>
      <w:r w:rsidRPr="00D15D32">
        <w:rPr>
          <w:rFonts w:asciiTheme="majorHAnsi" w:hAnsiTheme="majorHAnsi" w:cs="Verdana"/>
          <w:i/>
          <w:sz w:val="20"/>
          <w:szCs w:val="20"/>
        </w:rPr>
        <w:t>.</w:t>
      </w:r>
    </w:p>
    <w:p w:rsidR="00396942" w:rsidRPr="00D15D32" w:rsidRDefault="00396942" w:rsidP="00D15D32">
      <w:pPr>
        <w:shd w:val="clear" w:color="auto" w:fill="D6E3BC" w:themeFill="accent3" w:themeFillTint="66"/>
        <w:autoSpaceDE w:val="0"/>
        <w:autoSpaceDN w:val="0"/>
        <w:adjustRightInd w:val="0"/>
        <w:spacing w:after="120" w:line="240" w:lineRule="auto"/>
        <w:jc w:val="both"/>
        <w:rPr>
          <w:rFonts w:asciiTheme="majorHAnsi" w:hAnsiTheme="majorHAnsi" w:cs="Verdana"/>
        </w:rPr>
      </w:pPr>
      <w:r w:rsidRPr="00D15D32">
        <w:rPr>
          <w:rFonts w:asciiTheme="majorHAnsi" w:hAnsiTheme="majorHAnsi" w:cs="Verdana"/>
        </w:rPr>
        <w:t>(Los fiscales no firman ni el Acta ni el Certificado y sólo pueden llevarse una copia de éste).</w:t>
      </w:r>
      <w:r w:rsidRPr="00D15D32">
        <w:rPr>
          <w:rFonts w:asciiTheme="majorHAnsi" w:hAnsiTheme="majorHAnsi" w:cs="Verdana"/>
        </w:rPr>
        <w:t xml:space="preserve"> </w:t>
      </w:r>
    </w:p>
    <w:p w:rsidR="005C3917" w:rsidRPr="00D07561" w:rsidRDefault="008C1CE8" w:rsidP="00D15D32">
      <w:pPr>
        <w:pStyle w:val="Ttulo"/>
        <w:numPr>
          <w:ilvl w:val="0"/>
          <w:numId w:val="6"/>
        </w:numPr>
        <w:rPr>
          <w:sz w:val="32"/>
          <w:szCs w:val="32"/>
        </w:rPr>
      </w:pPr>
      <w:r w:rsidRPr="00D07561">
        <w:rPr>
          <w:sz w:val="32"/>
          <w:szCs w:val="32"/>
        </w:rPr>
        <w:t>TRANSMISION DE DATOS DEL ESCRUTINIO</w:t>
      </w:r>
    </w:p>
    <w:p w:rsidR="008C1CE8" w:rsidRPr="00D15D32" w:rsidRDefault="008C1CE8" w:rsidP="00D15D32">
      <w:pPr>
        <w:pStyle w:val="Prrafodelista"/>
        <w:numPr>
          <w:ilvl w:val="0"/>
          <w:numId w:val="8"/>
        </w:numPr>
        <w:autoSpaceDE w:val="0"/>
        <w:autoSpaceDN w:val="0"/>
        <w:adjustRightInd w:val="0"/>
        <w:spacing w:after="120" w:line="240" w:lineRule="auto"/>
        <w:jc w:val="both"/>
        <w:rPr>
          <w:rFonts w:asciiTheme="majorHAnsi" w:hAnsiTheme="majorHAnsi" w:cs="Verdana"/>
          <w:i/>
          <w:sz w:val="20"/>
          <w:szCs w:val="20"/>
        </w:rPr>
      </w:pPr>
      <w:r w:rsidRPr="00D15D32">
        <w:rPr>
          <w:rFonts w:asciiTheme="majorHAnsi" w:hAnsiTheme="majorHAnsi" w:cs="Verdana"/>
          <w:i/>
          <w:sz w:val="20"/>
          <w:szCs w:val="20"/>
        </w:rPr>
        <w:t>“</w:t>
      </w:r>
      <w:r w:rsidRPr="00D15D32">
        <w:rPr>
          <w:rFonts w:asciiTheme="majorHAnsi" w:hAnsiTheme="majorHAnsi" w:cs="Verdana"/>
          <w:i/>
          <w:sz w:val="20"/>
          <w:szCs w:val="20"/>
        </w:rPr>
        <w:t>10.6.2. El Software de Transmisión de Resultados deberá garantizar la transferencia hacia el centro de cómputos y a través de Internet, de los resultados asentados en las Actas de Escrutinio de Mesa de cada uno de los centros de votación, de acuerdo a lo descripto en el Apartado 11.2 “Procedimiento para el recuento provisorio de los votos emitidos mediante el SVE”.</w:t>
      </w:r>
      <w:r w:rsidRPr="00D15D32">
        <w:rPr>
          <w:rFonts w:asciiTheme="majorHAnsi" w:hAnsiTheme="majorHAnsi" w:cs="Verdana"/>
          <w:i/>
          <w:sz w:val="20"/>
          <w:szCs w:val="20"/>
        </w:rPr>
        <w:t>”</w:t>
      </w:r>
    </w:p>
    <w:p w:rsidR="008C1CE8" w:rsidRPr="00D15D32" w:rsidRDefault="008C1CE8" w:rsidP="00D15D32">
      <w:pPr>
        <w:shd w:val="clear" w:color="auto" w:fill="D6E3BC" w:themeFill="accent3" w:themeFillTint="66"/>
        <w:autoSpaceDE w:val="0"/>
        <w:autoSpaceDN w:val="0"/>
        <w:adjustRightInd w:val="0"/>
        <w:spacing w:after="120" w:line="240" w:lineRule="auto"/>
        <w:jc w:val="both"/>
        <w:rPr>
          <w:rFonts w:asciiTheme="majorHAnsi" w:hAnsiTheme="majorHAnsi" w:cs="Verdana"/>
        </w:rPr>
      </w:pPr>
      <w:r w:rsidRPr="00D15D32">
        <w:rPr>
          <w:rFonts w:asciiTheme="majorHAnsi" w:hAnsiTheme="majorHAnsi" w:cs="Verdana"/>
        </w:rPr>
        <w:t>¿Dónde está el Centro de Cómputos?</w:t>
      </w:r>
    </w:p>
    <w:p w:rsidR="008C1CE8" w:rsidRPr="00D15D32" w:rsidRDefault="008C1CE8" w:rsidP="00D15D32">
      <w:pPr>
        <w:pStyle w:val="Prrafodelista"/>
        <w:numPr>
          <w:ilvl w:val="0"/>
          <w:numId w:val="8"/>
        </w:numPr>
        <w:autoSpaceDE w:val="0"/>
        <w:autoSpaceDN w:val="0"/>
        <w:adjustRightInd w:val="0"/>
        <w:spacing w:after="120" w:line="240" w:lineRule="auto"/>
        <w:jc w:val="both"/>
        <w:rPr>
          <w:rFonts w:asciiTheme="majorHAnsi" w:hAnsiTheme="majorHAnsi" w:cs="Verdana"/>
          <w:i/>
          <w:sz w:val="20"/>
          <w:szCs w:val="20"/>
        </w:rPr>
      </w:pPr>
      <w:r w:rsidRPr="00D15D32">
        <w:rPr>
          <w:rFonts w:asciiTheme="majorHAnsi" w:hAnsiTheme="majorHAnsi" w:cs="Verdana"/>
          <w:i/>
          <w:sz w:val="20"/>
          <w:szCs w:val="20"/>
        </w:rPr>
        <w:t>“</w:t>
      </w:r>
      <w:r w:rsidRPr="00D15D32">
        <w:rPr>
          <w:rFonts w:asciiTheme="majorHAnsi" w:hAnsiTheme="majorHAnsi" w:cs="Verdana"/>
          <w:i/>
          <w:sz w:val="20"/>
          <w:szCs w:val="20"/>
        </w:rPr>
        <w:t>10.6.3. Deberá garantizar la seguridad e inalterabilidad de los datos, impidiendo la intrusión de terceros no autorizados, con el fin de acceder o modificar tales datos.</w:t>
      </w:r>
      <w:r w:rsidRPr="00D15D32">
        <w:rPr>
          <w:rFonts w:asciiTheme="majorHAnsi" w:hAnsiTheme="majorHAnsi" w:cs="Verdana"/>
          <w:i/>
          <w:sz w:val="20"/>
          <w:szCs w:val="20"/>
        </w:rPr>
        <w:t>”</w:t>
      </w:r>
    </w:p>
    <w:p w:rsidR="00F86A91" w:rsidRPr="00D15D32" w:rsidRDefault="00F86A91" w:rsidP="00D15D32">
      <w:pPr>
        <w:pStyle w:val="Prrafodelista"/>
        <w:numPr>
          <w:ilvl w:val="0"/>
          <w:numId w:val="8"/>
        </w:numPr>
        <w:autoSpaceDE w:val="0"/>
        <w:autoSpaceDN w:val="0"/>
        <w:adjustRightInd w:val="0"/>
        <w:spacing w:after="120" w:line="240" w:lineRule="auto"/>
        <w:rPr>
          <w:rFonts w:asciiTheme="majorHAnsi" w:hAnsiTheme="majorHAnsi" w:cs="Verdana"/>
          <w:i/>
          <w:sz w:val="20"/>
          <w:szCs w:val="20"/>
        </w:rPr>
      </w:pPr>
      <w:r w:rsidRPr="00D15D32">
        <w:rPr>
          <w:rFonts w:asciiTheme="majorHAnsi" w:hAnsiTheme="majorHAnsi" w:cs="Verdana"/>
          <w:i/>
          <w:sz w:val="20"/>
          <w:szCs w:val="20"/>
        </w:rPr>
        <w:t>“</w:t>
      </w:r>
      <w:r w:rsidRPr="00D15D32">
        <w:rPr>
          <w:rFonts w:asciiTheme="majorHAnsi" w:hAnsiTheme="majorHAnsi" w:cs="Verdana"/>
          <w:i/>
          <w:sz w:val="20"/>
          <w:szCs w:val="20"/>
        </w:rPr>
        <w:t>11.2.2. El Adjudicatario deberá garantizar la seguridad en la comunicación de estos datos, de manera que no puedan ser interceptados, obtenidos ni modificados por terceros no autorizados, ajenos al desarrollo del escrutinio de cada una de las mesas respectivas.</w:t>
      </w:r>
      <w:r w:rsidRPr="00D15D32">
        <w:rPr>
          <w:rFonts w:asciiTheme="majorHAnsi" w:hAnsiTheme="majorHAnsi" w:cs="Verdana"/>
          <w:i/>
          <w:sz w:val="20"/>
          <w:szCs w:val="20"/>
        </w:rPr>
        <w:t>”</w:t>
      </w:r>
    </w:p>
    <w:p w:rsidR="008C1CE8" w:rsidRPr="00D15D32" w:rsidRDefault="008C1CE8" w:rsidP="00D15D32">
      <w:pPr>
        <w:shd w:val="clear" w:color="auto" w:fill="D6E3BC" w:themeFill="accent3" w:themeFillTint="66"/>
        <w:autoSpaceDE w:val="0"/>
        <w:autoSpaceDN w:val="0"/>
        <w:adjustRightInd w:val="0"/>
        <w:spacing w:after="120" w:line="240" w:lineRule="auto"/>
        <w:jc w:val="both"/>
        <w:rPr>
          <w:rFonts w:asciiTheme="majorHAnsi" w:hAnsiTheme="majorHAnsi" w:cs="Verdana"/>
        </w:rPr>
      </w:pPr>
      <w:r w:rsidRPr="00D15D32">
        <w:rPr>
          <w:rFonts w:asciiTheme="majorHAnsi" w:hAnsiTheme="majorHAnsi" w:cs="Verdana"/>
        </w:rPr>
        <w:t xml:space="preserve">¿Cómo garantiza la empresa estas condiciones? ¿Qué verificaciones realizó el Tribunal? </w:t>
      </w:r>
      <w:proofErr w:type="gramStart"/>
      <w:r w:rsidRPr="00D15D32">
        <w:rPr>
          <w:rFonts w:asciiTheme="majorHAnsi" w:hAnsiTheme="majorHAnsi" w:cs="Verdana"/>
        </w:rPr>
        <w:t>¿</w:t>
      </w:r>
      <w:proofErr w:type="gramEnd"/>
      <w:r w:rsidRPr="00D15D32">
        <w:rPr>
          <w:rFonts w:asciiTheme="majorHAnsi" w:hAnsiTheme="majorHAnsi" w:cs="Verdana"/>
        </w:rPr>
        <w:t>Por qué se niega a lo que piden las fuerzas políticas.</w:t>
      </w:r>
    </w:p>
    <w:p w:rsidR="00F86A91" w:rsidRPr="00D15D32" w:rsidRDefault="00F86A91" w:rsidP="00D15D32">
      <w:pPr>
        <w:pStyle w:val="Prrafodelista"/>
        <w:numPr>
          <w:ilvl w:val="0"/>
          <w:numId w:val="8"/>
        </w:numPr>
        <w:autoSpaceDE w:val="0"/>
        <w:autoSpaceDN w:val="0"/>
        <w:adjustRightInd w:val="0"/>
        <w:spacing w:after="120" w:line="240" w:lineRule="auto"/>
        <w:jc w:val="both"/>
        <w:rPr>
          <w:rFonts w:asciiTheme="majorHAnsi" w:hAnsiTheme="majorHAnsi" w:cs="Verdana"/>
          <w:i/>
          <w:sz w:val="20"/>
          <w:szCs w:val="20"/>
        </w:rPr>
      </w:pPr>
      <w:r w:rsidRPr="00D15D32">
        <w:rPr>
          <w:rFonts w:asciiTheme="majorHAnsi" w:hAnsiTheme="majorHAnsi" w:cs="Verdana"/>
          <w:i/>
          <w:sz w:val="20"/>
          <w:szCs w:val="20"/>
        </w:rPr>
        <w:t>“</w:t>
      </w:r>
      <w:r w:rsidRPr="00D15D32">
        <w:rPr>
          <w:rFonts w:asciiTheme="majorHAnsi" w:hAnsiTheme="majorHAnsi" w:cs="Verdana"/>
          <w:i/>
          <w:sz w:val="20"/>
          <w:szCs w:val="20"/>
        </w:rPr>
        <w:t xml:space="preserve">11.2.3. </w:t>
      </w:r>
      <w:r w:rsidRPr="00D15D32">
        <w:rPr>
          <w:rFonts w:asciiTheme="majorHAnsi" w:hAnsiTheme="majorHAnsi" w:cs="Verdana"/>
          <w:i/>
          <w:sz w:val="20"/>
          <w:szCs w:val="20"/>
          <w:u w:val="single"/>
        </w:rPr>
        <w:t>Una vez consolidados</w:t>
      </w:r>
      <w:r w:rsidRPr="00D15D32">
        <w:rPr>
          <w:rFonts w:asciiTheme="majorHAnsi" w:hAnsiTheme="majorHAnsi" w:cs="Verdana"/>
          <w:i/>
          <w:sz w:val="20"/>
          <w:szCs w:val="20"/>
        </w:rPr>
        <w:t xml:space="preserve"> los datos en el centro de cómputos, el software destinado a la difusión de los resultados deberá contar con las funcionalidades necesarias para publicar en tiempo real, es decir, de manera automática, </w:t>
      </w:r>
      <w:r w:rsidRPr="00D15D32">
        <w:rPr>
          <w:rFonts w:asciiTheme="majorHAnsi" w:hAnsiTheme="majorHAnsi" w:cs="Verdana"/>
          <w:i/>
          <w:sz w:val="20"/>
          <w:szCs w:val="20"/>
          <w:u w:val="single"/>
        </w:rPr>
        <w:t>sin solución de continuidad y sin intermediarios humanos en la carga ni ningún otro tipo de manipulación de información intermedia</w:t>
      </w:r>
      <w:r w:rsidRPr="00D15D32">
        <w:rPr>
          <w:rFonts w:asciiTheme="majorHAnsi" w:hAnsiTheme="majorHAnsi" w:cs="Verdana"/>
          <w:i/>
          <w:sz w:val="20"/>
          <w:szCs w:val="20"/>
        </w:rPr>
        <w:t>, los resultados del escrutinio, incluso a nivel parcial.</w:t>
      </w:r>
    </w:p>
    <w:p w:rsidR="00F86A91" w:rsidRDefault="00F86A91" w:rsidP="00D15D32">
      <w:pPr>
        <w:shd w:val="clear" w:color="auto" w:fill="D6E3BC" w:themeFill="accent3" w:themeFillTint="66"/>
        <w:autoSpaceDE w:val="0"/>
        <w:autoSpaceDN w:val="0"/>
        <w:adjustRightInd w:val="0"/>
        <w:spacing w:after="120" w:line="240" w:lineRule="auto"/>
        <w:jc w:val="both"/>
        <w:rPr>
          <w:rFonts w:asciiTheme="majorHAnsi" w:hAnsiTheme="majorHAnsi" w:cs="Verdana"/>
          <w:sz w:val="20"/>
          <w:szCs w:val="20"/>
        </w:rPr>
      </w:pPr>
      <w:r>
        <w:rPr>
          <w:rFonts w:asciiTheme="majorHAnsi" w:hAnsiTheme="majorHAnsi" w:cs="Verdana"/>
          <w:sz w:val="20"/>
          <w:szCs w:val="20"/>
        </w:rPr>
        <w:t>Es curioso que el Pliego no contenga esta misma garantía para el proceso de consolidación de datos.</w:t>
      </w:r>
    </w:p>
    <w:p w:rsidR="00D15D32" w:rsidRDefault="00D15D32" w:rsidP="00D15D32">
      <w:pPr>
        <w:pStyle w:val="Prrafodelista"/>
        <w:numPr>
          <w:ilvl w:val="0"/>
          <w:numId w:val="8"/>
        </w:numPr>
        <w:autoSpaceDE w:val="0"/>
        <w:autoSpaceDN w:val="0"/>
        <w:adjustRightInd w:val="0"/>
        <w:spacing w:after="120" w:line="240" w:lineRule="auto"/>
        <w:rPr>
          <w:rFonts w:asciiTheme="majorHAnsi" w:hAnsiTheme="majorHAnsi" w:cs="Verdana"/>
          <w:i/>
          <w:sz w:val="20"/>
          <w:szCs w:val="20"/>
        </w:rPr>
      </w:pPr>
      <w:r w:rsidRPr="00D15D32">
        <w:rPr>
          <w:rFonts w:asciiTheme="majorHAnsi" w:hAnsiTheme="majorHAnsi" w:cs="Verdana"/>
          <w:i/>
          <w:sz w:val="20"/>
          <w:szCs w:val="20"/>
        </w:rPr>
        <w:t>“</w:t>
      </w:r>
      <w:r w:rsidRPr="00D15D32">
        <w:rPr>
          <w:rFonts w:asciiTheme="majorHAnsi" w:hAnsiTheme="majorHAnsi" w:cs="Verdana"/>
          <w:i/>
          <w:sz w:val="20"/>
          <w:szCs w:val="20"/>
        </w:rPr>
        <w:t>11.3. Software asociado al SRPV</w:t>
      </w:r>
      <w:r w:rsidRPr="00D15D32">
        <w:rPr>
          <w:rFonts w:asciiTheme="majorHAnsi" w:hAnsiTheme="majorHAnsi" w:cs="Verdana"/>
          <w:i/>
          <w:sz w:val="20"/>
          <w:szCs w:val="20"/>
        </w:rPr>
        <w:t xml:space="preserve">. </w:t>
      </w:r>
      <w:r w:rsidRPr="00D15D32">
        <w:rPr>
          <w:rFonts w:asciiTheme="majorHAnsi" w:hAnsiTheme="majorHAnsi" w:cs="Verdana"/>
          <w:i/>
          <w:sz w:val="20"/>
          <w:szCs w:val="20"/>
        </w:rPr>
        <w:t>11.3.1. El SRPV contará con los siguientes aplicativos:</w:t>
      </w:r>
      <w:r w:rsidRPr="00D15D32">
        <w:rPr>
          <w:rFonts w:asciiTheme="majorHAnsi" w:hAnsiTheme="majorHAnsi" w:cs="Verdana"/>
          <w:i/>
          <w:sz w:val="20"/>
          <w:szCs w:val="20"/>
        </w:rPr>
        <w:t xml:space="preserve"> </w:t>
      </w:r>
      <w:r w:rsidRPr="00D15D32">
        <w:rPr>
          <w:rFonts w:asciiTheme="majorHAnsi" w:hAnsiTheme="majorHAnsi" w:cs="Verdana"/>
          <w:i/>
          <w:sz w:val="20"/>
          <w:szCs w:val="20"/>
        </w:rPr>
        <w:t>11.3.1.1. Software de Registración de Resultados</w:t>
      </w:r>
      <w:r w:rsidRPr="00D15D32">
        <w:rPr>
          <w:rFonts w:asciiTheme="majorHAnsi" w:hAnsiTheme="majorHAnsi" w:cs="Verdana"/>
          <w:i/>
          <w:sz w:val="20"/>
          <w:szCs w:val="20"/>
        </w:rPr>
        <w:t>:</w:t>
      </w:r>
    </w:p>
    <w:p w:rsidR="00D15D32" w:rsidRPr="00D15D32" w:rsidRDefault="00D15D32" w:rsidP="00D15D32">
      <w:pPr>
        <w:pStyle w:val="Prrafodelista"/>
        <w:numPr>
          <w:ilvl w:val="0"/>
          <w:numId w:val="8"/>
        </w:numPr>
        <w:autoSpaceDE w:val="0"/>
        <w:autoSpaceDN w:val="0"/>
        <w:adjustRightInd w:val="0"/>
        <w:spacing w:after="120" w:line="240" w:lineRule="auto"/>
        <w:rPr>
          <w:rFonts w:asciiTheme="majorHAnsi" w:hAnsiTheme="majorHAnsi" w:cs="Verdana"/>
          <w:i/>
          <w:sz w:val="20"/>
          <w:szCs w:val="20"/>
        </w:rPr>
      </w:pPr>
      <w:r w:rsidRPr="00D15D32">
        <w:rPr>
          <w:rFonts w:asciiTheme="majorHAnsi" w:hAnsiTheme="majorHAnsi" w:cs="Verdana"/>
          <w:i/>
          <w:sz w:val="20"/>
          <w:szCs w:val="20"/>
        </w:rPr>
        <w:t xml:space="preserve">11.3.1.1.5. Deberá incluir </w:t>
      </w:r>
      <w:proofErr w:type="spellStart"/>
      <w:r w:rsidRPr="00D15D32">
        <w:rPr>
          <w:rFonts w:asciiTheme="majorHAnsi" w:hAnsiTheme="majorHAnsi" w:cs="Verdana"/>
          <w:i/>
          <w:sz w:val="20"/>
          <w:szCs w:val="20"/>
        </w:rPr>
        <w:t>logs</w:t>
      </w:r>
      <w:proofErr w:type="spellEnd"/>
      <w:r w:rsidRPr="00D15D32">
        <w:rPr>
          <w:rFonts w:asciiTheme="majorHAnsi" w:hAnsiTheme="majorHAnsi" w:cs="Verdana"/>
          <w:i/>
          <w:sz w:val="20"/>
          <w:szCs w:val="20"/>
        </w:rPr>
        <w:t xml:space="preserve"> de auditoría y su respectiva consulta, a definir oportunamente por el Tribunal Electoral</w:t>
      </w:r>
      <w:r w:rsidRPr="00D15D32">
        <w:rPr>
          <w:rFonts w:asciiTheme="majorHAnsi" w:hAnsiTheme="majorHAnsi" w:cs="Verdana"/>
          <w:i/>
          <w:sz w:val="20"/>
          <w:szCs w:val="20"/>
        </w:rPr>
        <w:t>”</w:t>
      </w:r>
      <w:r w:rsidRPr="00D15D32">
        <w:rPr>
          <w:rFonts w:asciiTheme="majorHAnsi" w:hAnsiTheme="majorHAnsi" w:cs="Verdana"/>
          <w:i/>
          <w:sz w:val="20"/>
          <w:szCs w:val="20"/>
        </w:rPr>
        <w:t>.</w:t>
      </w:r>
    </w:p>
    <w:p w:rsidR="00D15D32" w:rsidRPr="00D15D32" w:rsidRDefault="00D15D32" w:rsidP="00D15D32">
      <w:pPr>
        <w:shd w:val="clear" w:color="auto" w:fill="D6E3BC" w:themeFill="accent3" w:themeFillTint="66"/>
        <w:autoSpaceDE w:val="0"/>
        <w:autoSpaceDN w:val="0"/>
        <w:adjustRightInd w:val="0"/>
        <w:spacing w:after="120" w:line="240" w:lineRule="auto"/>
        <w:jc w:val="both"/>
        <w:rPr>
          <w:rFonts w:asciiTheme="majorHAnsi" w:hAnsiTheme="majorHAnsi" w:cs="Verdana"/>
        </w:rPr>
      </w:pPr>
      <w:r>
        <w:rPr>
          <w:rFonts w:asciiTheme="majorHAnsi" w:hAnsiTheme="majorHAnsi" w:cs="Verdana"/>
        </w:rPr>
        <w:t>¿</w:t>
      </w:r>
      <w:r w:rsidRPr="00D15D32">
        <w:rPr>
          <w:rFonts w:asciiTheme="majorHAnsi" w:hAnsiTheme="majorHAnsi" w:cs="Verdana"/>
        </w:rPr>
        <w:t>Qué opinan nuestros informáticos acerca de esto? ¿De</w:t>
      </w:r>
      <w:r>
        <w:rPr>
          <w:rFonts w:asciiTheme="majorHAnsi" w:hAnsiTheme="majorHAnsi" w:cs="Verdana"/>
        </w:rPr>
        <w:t>f</w:t>
      </w:r>
      <w:r w:rsidRPr="00D15D32">
        <w:rPr>
          <w:rFonts w:asciiTheme="majorHAnsi" w:hAnsiTheme="majorHAnsi" w:cs="Verdana"/>
        </w:rPr>
        <w:t>inió el Tribunal Electoral esos “</w:t>
      </w:r>
      <w:proofErr w:type="spellStart"/>
      <w:r w:rsidRPr="00D15D32">
        <w:rPr>
          <w:rFonts w:asciiTheme="majorHAnsi" w:hAnsiTheme="majorHAnsi" w:cs="Verdana"/>
          <w:i/>
        </w:rPr>
        <w:t>logs</w:t>
      </w:r>
      <w:proofErr w:type="spellEnd"/>
      <w:r w:rsidRPr="00D15D32">
        <w:rPr>
          <w:rFonts w:asciiTheme="majorHAnsi" w:hAnsiTheme="majorHAnsi" w:cs="Verdana"/>
          <w:i/>
        </w:rPr>
        <w:t xml:space="preserve"> de auditoria</w:t>
      </w:r>
      <w:r w:rsidRPr="00D15D32">
        <w:rPr>
          <w:rFonts w:asciiTheme="majorHAnsi" w:hAnsiTheme="majorHAnsi" w:cs="Verdana"/>
        </w:rPr>
        <w:t>”</w:t>
      </w:r>
      <w:r>
        <w:rPr>
          <w:rFonts w:asciiTheme="majorHAnsi" w:hAnsiTheme="majorHAnsi" w:cs="Verdana"/>
        </w:rPr>
        <w:t>?</w:t>
      </w:r>
    </w:p>
    <w:p w:rsidR="00D07561" w:rsidRDefault="00D07561" w:rsidP="00D07561">
      <w:pPr>
        <w:autoSpaceDE w:val="0"/>
        <w:autoSpaceDN w:val="0"/>
        <w:adjustRightInd w:val="0"/>
        <w:spacing w:after="0" w:line="240" w:lineRule="auto"/>
        <w:jc w:val="both"/>
        <w:rPr>
          <w:rFonts w:asciiTheme="majorHAnsi" w:hAnsiTheme="majorHAnsi" w:cs="Verdana"/>
          <w:b/>
          <w:sz w:val="20"/>
          <w:szCs w:val="20"/>
        </w:rPr>
      </w:pPr>
    </w:p>
    <w:p w:rsidR="00F86A91" w:rsidRPr="00D07561" w:rsidRDefault="00D07561" w:rsidP="00D07561">
      <w:pPr>
        <w:autoSpaceDE w:val="0"/>
        <w:autoSpaceDN w:val="0"/>
        <w:adjustRightInd w:val="0"/>
        <w:spacing w:after="0" w:line="240" w:lineRule="auto"/>
        <w:jc w:val="both"/>
        <w:rPr>
          <w:rFonts w:asciiTheme="majorHAnsi" w:hAnsiTheme="majorHAnsi" w:cs="Verdana"/>
          <w:b/>
          <w:sz w:val="20"/>
          <w:szCs w:val="20"/>
        </w:rPr>
      </w:pPr>
      <w:bookmarkStart w:id="0" w:name="_GoBack"/>
      <w:bookmarkEnd w:id="0"/>
      <w:r w:rsidRPr="00D07561">
        <w:rPr>
          <w:rFonts w:asciiTheme="majorHAnsi" w:hAnsiTheme="majorHAnsi" w:cs="Verdana"/>
          <w:b/>
          <w:sz w:val="20"/>
          <w:szCs w:val="20"/>
        </w:rPr>
        <w:t>JACF</w:t>
      </w:r>
    </w:p>
    <w:p w:rsidR="00D07561" w:rsidRPr="00D07561" w:rsidRDefault="00D07561" w:rsidP="00D07561">
      <w:pPr>
        <w:autoSpaceDE w:val="0"/>
        <w:autoSpaceDN w:val="0"/>
        <w:adjustRightInd w:val="0"/>
        <w:spacing w:after="0" w:line="240" w:lineRule="auto"/>
        <w:jc w:val="both"/>
        <w:rPr>
          <w:rFonts w:asciiTheme="majorHAnsi" w:hAnsiTheme="majorHAnsi" w:cs="Verdana"/>
          <w:b/>
          <w:sz w:val="20"/>
          <w:szCs w:val="20"/>
        </w:rPr>
      </w:pPr>
      <w:r w:rsidRPr="00D07561">
        <w:rPr>
          <w:rFonts w:asciiTheme="majorHAnsi" w:hAnsiTheme="majorHAnsi" w:cs="Verdana"/>
          <w:b/>
          <w:sz w:val="20"/>
          <w:szCs w:val="20"/>
        </w:rPr>
        <w:t>12/05/2015</w:t>
      </w:r>
    </w:p>
    <w:p w:rsidR="00D07561" w:rsidRPr="00D07561" w:rsidRDefault="00D07561" w:rsidP="00D07561">
      <w:pPr>
        <w:autoSpaceDE w:val="0"/>
        <w:autoSpaceDN w:val="0"/>
        <w:adjustRightInd w:val="0"/>
        <w:spacing w:after="0" w:line="240" w:lineRule="auto"/>
        <w:jc w:val="both"/>
        <w:rPr>
          <w:rFonts w:asciiTheme="majorHAnsi" w:hAnsiTheme="majorHAnsi" w:cs="Verdana"/>
          <w:b/>
          <w:sz w:val="20"/>
          <w:szCs w:val="20"/>
        </w:rPr>
      </w:pPr>
      <w:r w:rsidRPr="00D07561">
        <w:rPr>
          <w:rFonts w:asciiTheme="majorHAnsi" w:hAnsiTheme="majorHAnsi" w:cs="Verdana"/>
          <w:b/>
          <w:sz w:val="20"/>
          <w:szCs w:val="20"/>
        </w:rPr>
        <w:t>Horas 12</w:t>
      </w:r>
    </w:p>
    <w:p w:rsidR="005C3917" w:rsidRDefault="005C3917" w:rsidP="005C3917">
      <w:pPr>
        <w:jc w:val="both"/>
        <w:rPr>
          <w:rFonts w:asciiTheme="majorHAnsi" w:hAnsiTheme="majorHAnsi"/>
        </w:rPr>
      </w:pPr>
    </w:p>
    <w:p w:rsidR="005C3917" w:rsidRPr="005C3917" w:rsidRDefault="005C3917" w:rsidP="005C3917">
      <w:pPr>
        <w:jc w:val="both"/>
        <w:rPr>
          <w:rFonts w:asciiTheme="majorHAnsi" w:hAnsiTheme="majorHAnsi"/>
        </w:rPr>
      </w:pPr>
    </w:p>
    <w:sectPr w:rsidR="005C3917" w:rsidRPr="005C3917" w:rsidSect="00D07561">
      <w:headerReference w:type="default" r:id="rId8"/>
      <w:footerReference w:type="default" r:id="rId9"/>
      <w:pgSz w:w="11907" w:h="16840" w:code="9"/>
      <w:pgMar w:top="226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7D" w:rsidRDefault="006F357D" w:rsidP="00D07561">
      <w:pPr>
        <w:spacing w:after="0" w:line="240" w:lineRule="auto"/>
      </w:pPr>
      <w:r>
        <w:separator/>
      </w:r>
    </w:p>
  </w:endnote>
  <w:endnote w:type="continuationSeparator" w:id="0">
    <w:p w:rsidR="006F357D" w:rsidRDefault="006F357D" w:rsidP="00D0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77580"/>
      <w:docPartObj>
        <w:docPartGallery w:val="Page Numbers (Bottom of Page)"/>
        <w:docPartUnique/>
      </w:docPartObj>
    </w:sdtPr>
    <w:sdtContent>
      <w:p w:rsidR="00D07561" w:rsidRDefault="00D07561">
        <w:pPr>
          <w:pStyle w:val="Piedepgina"/>
          <w:jc w:val="center"/>
        </w:pPr>
        <w:r>
          <w:fldChar w:fldCharType="begin"/>
        </w:r>
        <w:r>
          <w:instrText>PAGE   \* MERGEFORMAT</w:instrText>
        </w:r>
        <w:r>
          <w:fldChar w:fldCharType="separate"/>
        </w:r>
        <w:r w:rsidRPr="00D07561">
          <w:rPr>
            <w:noProof/>
            <w:lang w:val="es-ES"/>
          </w:rPr>
          <w:t>1</w:t>
        </w:r>
        <w:r>
          <w:fldChar w:fldCharType="end"/>
        </w:r>
      </w:p>
    </w:sdtContent>
  </w:sdt>
  <w:p w:rsidR="00D07561" w:rsidRDefault="00D075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7D" w:rsidRDefault="006F357D" w:rsidP="00D07561">
      <w:pPr>
        <w:spacing w:after="0" w:line="240" w:lineRule="auto"/>
      </w:pPr>
      <w:r>
        <w:separator/>
      </w:r>
    </w:p>
  </w:footnote>
  <w:footnote w:type="continuationSeparator" w:id="0">
    <w:p w:rsidR="006F357D" w:rsidRDefault="006F357D" w:rsidP="00D0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96328"/>
      <w:docPartObj>
        <w:docPartGallery w:val="Page Numbers (Top of Page)"/>
        <w:docPartUnique/>
      </w:docPartObj>
    </w:sdtPr>
    <w:sdtContent>
      <w:p w:rsidR="00D07561" w:rsidRDefault="00D07561">
        <w:pPr>
          <w:pStyle w:val="Encabezado"/>
          <w:jc w:val="center"/>
        </w:pPr>
      </w:p>
      <w:p w:rsidR="00D07561" w:rsidRDefault="00D07561">
        <w:pPr>
          <w:pStyle w:val="Encabezado"/>
          <w:jc w:val="center"/>
        </w:pPr>
      </w:p>
    </w:sdtContent>
  </w:sdt>
  <w:p w:rsidR="00D07561" w:rsidRDefault="00D075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04F8"/>
    <w:multiLevelType w:val="hybridMultilevel"/>
    <w:tmpl w:val="F01AC76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5812633"/>
    <w:multiLevelType w:val="hybridMultilevel"/>
    <w:tmpl w:val="394EB80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1976B6"/>
    <w:multiLevelType w:val="hybridMultilevel"/>
    <w:tmpl w:val="A410613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8D33101"/>
    <w:multiLevelType w:val="hybridMultilevel"/>
    <w:tmpl w:val="10D8A2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B141FBF"/>
    <w:multiLevelType w:val="hybridMultilevel"/>
    <w:tmpl w:val="CC5C6C5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2724C16"/>
    <w:multiLevelType w:val="hybridMultilevel"/>
    <w:tmpl w:val="7F1CD3E8"/>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3AD09F6"/>
    <w:multiLevelType w:val="hybridMultilevel"/>
    <w:tmpl w:val="A31AAB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D032FF6"/>
    <w:multiLevelType w:val="hybridMultilevel"/>
    <w:tmpl w:val="6E007A7A"/>
    <w:lvl w:ilvl="0" w:tplc="7EEA6F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EF14955"/>
    <w:multiLevelType w:val="hybridMultilevel"/>
    <w:tmpl w:val="525C1B8A"/>
    <w:lvl w:ilvl="0" w:tplc="21A29A8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17"/>
    <w:rsid w:val="00132854"/>
    <w:rsid w:val="00295D76"/>
    <w:rsid w:val="00396942"/>
    <w:rsid w:val="00437539"/>
    <w:rsid w:val="004A5EE0"/>
    <w:rsid w:val="004C6DC3"/>
    <w:rsid w:val="005C3917"/>
    <w:rsid w:val="00627DD5"/>
    <w:rsid w:val="006F357D"/>
    <w:rsid w:val="008C1CE8"/>
    <w:rsid w:val="00D07561"/>
    <w:rsid w:val="00D15D32"/>
    <w:rsid w:val="00F86A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tulo">
    <w:name w:val="Title"/>
    <w:basedOn w:val="Normal"/>
    <w:next w:val="Normal"/>
    <w:link w:val="TtuloCar"/>
    <w:uiPriority w:val="10"/>
    <w:qFormat/>
    <w:rsid w:val="003969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694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07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561"/>
  </w:style>
  <w:style w:type="paragraph" w:styleId="Piedepgina">
    <w:name w:val="footer"/>
    <w:basedOn w:val="Normal"/>
    <w:link w:val="PiedepginaCar"/>
    <w:uiPriority w:val="99"/>
    <w:unhideWhenUsed/>
    <w:rsid w:val="00D07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Ttulo">
    <w:name w:val="Title"/>
    <w:basedOn w:val="Normal"/>
    <w:next w:val="Normal"/>
    <w:link w:val="TtuloCar"/>
    <w:uiPriority w:val="10"/>
    <w:qFormat/>
    <w:rsid w:val="003969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9694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D07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561"/>
  </w:style>
  <w:style w:type="paragraph" w:styleId="Piedepgina">
    <w:name w:val="footer"/>
    <w:basedOn w:val="Normal"/>
    <w:link w:val="PiedepginaCar"/>
    <w:uiPriority w:val="99"/>
    <w:unhideWhenUsed/>
    <w:rsid w:val="00D07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7721">
      <w:bodyDiv w:val="1"/>
      <w:marLeft w:val="0"/>
      <w:marRight w:val="0"/>
      <w:marTop w:val="0"/>
      <w:marBottom w:val="0"/>
      <w:divBdr>
        <w:top w:val="none" w:sz="0" w:space="0" w:color="auto"/>
        <w:left w:val="none" w:sz="0" w:space="0" w:color="auto"/>
        <w:bottom w:val="none" w:sz="0" w:space="0" w:color="auto"/>
        <w:right w:val="none" w:sz="0" w:space="0" w:color="auto"/>
      </w:divBdr>
    </w:div>
    <w:div w:id="9281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2015-05-12T14:10:00Z</dcterms:created>
  <dcterms:modified xsi:type="dcterms:W3CDTF">2015-05-12T15:16:00Z</dcterms:modified>
</cp:coreProperties>
</file>