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4" w:rsidRPr="00343784" w:rsidRDefault="00343784" w:rsidP="00343784">
      <w:pPr>
        <w:pStyle w:val="Ttulo"/>
        <w:spacing w:after="120"/>
        <w:rPr>
          <w:sz w:val="36"/>
          <w:szCs w:val="36"/>
        </w:rPr>
      </w:pPr>
      <w:r>
        <w:rPr>
          <w:sz w:val="36"/>
          <w:szCs w:val="36"/>
        </w:rPr>
        <w:t>LA CORTE DE JUSTICIA SE NIEGA A GARANTIZAR LA PUREZA DE LAS ELECCIONES DEL 17 DE MAYO</w:t>
      </w:r>
      <w:bookmarkStart w:id="0" w:name="_GoBack"/>
      <w:bookmarkEnd w:id="0"/>
    </w:p>
    <w:p w:rsidR="00343784" w:rsidRPr="00343784" w:rsidRDefault="00343784" w:rsidP="00E24FCB">
      <w:pPr>
        <w:spacing w:after="120"/>
        <w:jc w:val="right"/>
        <w:rPr>
          <w:rFonts w:asciiTheme="majorHAnsi" w:hAnsiTheme="majorHAnsi"/>
          <w:b/>
          <w:sz w:val="24"/>
          <w:szCs w:val="24"/>
        </w:rPr>
      </w:pPr>
      <w:r w:rsidRPr="00343784">
        <w:rPr>
          <w:rFonts w:asciiTheme="majorHAnsi" w:hAnsiTheme="majorHAnsi"/>
          <w:b/>
          <w:sz w:val="24"/>
          <w:szCs w:val="24"/>
        </w:rPr>
        <w:t>José Armando Caro Figueroa</w:t>
      </w:r>
    </w:p>
    <w:p w:rsidR="00343784" w:rsidRDefault="00343784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empecinado embate del Gobernador de la Provincia contra la transparencia electoral ha encontrado </w:t>
      </w:r>
      <w:r w:rsidR="00E24FCB">
        <w:rPr>
          <w:rFonts w:asciiTheme="majorHAnsi" w:hAnsiTheme="majorHAnsi"/>
          <w:sz w:val="24"/>
          <w:szCs w:val="24"/>
        </w:rPr>
        <w:t xml:space="preserve">el previsible </w:t>
      </w:r>
      <w:r>
        <w:rPr>
          <w:rFonts w:asciiTheme="majorHAnsi" w:hAnsiTheme="majorHAnsi"/>
          <w:sz w:val="24"/>
          <w:szCs w:val="24"/>
        </w:rPr>
        <w:t>respaldo de la Corte de Justicia de Salta.</w:t>
      </w:r>
    </w:p>
    <w:p w:rsidR="00C54AFD" w:rsidRDefault="00E24FCB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Conviene señalar que </w:t>
      </w:r>
      <w:r>
        <w:rPr>
          <w:rFonts w:asciiTheme="majorHAnsi" w:hAnsiTheme="majorHAnsi"/>
          <w:sz w:val="24"/>
          <w:szCs w:val="24"/>
        </w:rPr>
        <w:t>los esfuerzos del Poder Ejecutivo para alinear al Poder Judicial</w:t>
      </w:r>
      <w:r>
        <w:rPr>
          <w:rFonts w:asciiTheme="majorHAnsi" w:hAnsiTheme="majorHAnsi"/>
          <w:sz w:val="24"/>
          <w:szCs w:val="24"/>
        </w:rPr>
        <w:t xml:space="preserve"> son un escollo </w:t>
      </w:r>
      <w:r w:rsidR="00C953EE">
        <w:rPr>
          <w:rFonts w:asciiTheme="majorHAnsi" w:hAnsiTheme="majorHAnsi"/>
          <w:sz w:val="24"/>
          <w:szCs w:val="24"/>
        </w:rPr>
        <w:t xml:space="preserve">para el efectivo funcionamiento del Estado democrático de Derecho </w:t>
      </w:r>
      <w:r w:rsidR="001419BD">
        <w:rPr>
          <w:rFonts w:asciiTheme="majorHAnsi" w:hAnsiTheme="majorHAnsi"/>
          <w:sz w:val="24"/>
          <w:szCs w:val="24"/>
        </w:rPr>
        <w:t>en Salta</w:t>
      </w:r>
      <w:r>
        <w:rPr>
          <w:rFonts w:asciiTheme="majorHAnsi" w:hAnsiTheme="majorHAnsi"/>
          <w:sz w:val="24"/>
          <w:szCs w:val="24"/>
        </w:rPr>
        <w:t xml:space="preserve">. </w:t>
      </w:r>
      <w:r w:rsidR="00C953EE">
        <w:rPr>
          <w:rFonts w:asciiTheme="majorHAnsi" w:hAnsiTheme="majorHAnsi"/>
          <w:sz w:val="24"/>
          <w:szCs w:val="24"/>
        </w:rPr>
        <w:t xml:space="preserve">Cuando el Gobernador se esfuerza por controlar el Consejo de la Magistratura y el Jurado de Enjuiciamiento, mantiene </w:t>
      </w:r>
      <w:r w:rsidR="00C54AFD">
        <w:rPr>
          <w:rFonts w:asciiTheme="majorHAnsi" w:hAnsiTheme="majorHAnsi"/>
          <w:sz w:val="24"/>
          <w:szCs w:val="24"/>
        </w:rPr>
        <w:t>la inestabilidad de los miembros de la Corte,</w:t>
      </w:r>
      <w:r w:rsidR="00C953EE">
        <w:rPr>
          <w:rFonts w:asciiTheme="majorHAnsi" w:hAnsiTheme="majorHAnsi"/>
          <w:sz w:val="24"/>
          <w:szCs w:val="24"/>
        </w:rPr>
        <w:t xml:space="preserve"> y </w:t>
      </w:r>
      <w:r>
        <w:rPr>
          <w:rFonts w:asciiTheme="majorHAnsi" w:hAnsiTheme="majorHAnsi"/>
          <w:sz w:val="24"/>
          <w:szCs w:val="24"/>
        </w:rPr>
        <w:t>s</w:t>
      </w:r>
      <w:r w:rsidR="00C953EE">
        <w:rPr>
          <w:rFonts w:asciiTheme="majorHAnsi" w:hAnsiTheme="majorHAnsi"/>
          <w:sz w:val="24"/>
          <w:szCs w:val="24"/>
        </w:rPr>
        <w:t>elecciona magistrados en función de simpatías, parentescos o lealtades, está erosionando el principio republicano de división de los poderes.</w:t>
      </w:r>
    </w:p>
    <w:p w:rsidR="001419BD" w:rsidRDefault="00E24FCB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rechazo de </w:t>
      </w:r>
      <w:r w:rsidR="001419BD">
        <w:rPr>
          <w:rFonts w:ascii="Cambria" w:hAnsi="Cambria"/>
          <w:sz w:val="24"/>
          <w:szCs w:val="24"/>
        </w:rPr>
        <w:t xml:space="preserve">nuestra Corte </w:t>
      </w:r>
      <w:r>
        <w:rPr>
          <w:rFonts w:ascii="Cambria" w:hAnsi="Cambria"/>
          <w:sz w:val="24"/>
          <w:szCs w:val="24"/>
        </w:rPr>
        <w:t xml:space="preserve">al recurso de inconstitucionalidad deducido por </w:t>
      </w:r>
      <w:r w:rsidR="001419BD">
        <w:rPr>
          <w:rFonts w:ascii="Cambria" w:hAnsi="Cambria"/>
          <w:sz w:val="24"/>
          <w:szCs w:val="24"/>
        </w:rPr>
        <w:t>el Frente Romero + Olmedo</w:t>
      </w:r>
      <w:r>
        <w:rPr>
          <w:rFonts w:ascii="Cambria" w:hAnsi="Cambria"/>
          <w:sz w:val="24"/>
          <w:szCs w:val="24"/>
        </w:rPr>
        <w:t xml:space="preserve"> permite, sin embargo, que </w:t>
      </w:r>
      <w:r w:rsidR="001419BD">
        <w:rPr>
          <w:rFonts w:ascii="Cambria" w:hAnsi="Cambria"/>
          <w:sz w:val="24"/>
          <w:szCs w:val="24"/>
        </w:rPr>
        <w:t>la ciudadanía y la historia s</w:t>
      </w:r>
      <w:r>
        <w:rPr>
          <w:rFonts w:ascii="Cambria" w:hAnsi="Cambria"/>
          <w:sz w:val="24"/>
          <w:szCs w:val="24"/>
        </w:rPr>
        <w:t xml:space="preserve">epan </w:t>
      </w:r>
      <w:r w:rsidR="001419BD">
        <w:rPr>
          <w:rFonts w:ascii="Cambria" w:hAnsi="Cambria"/>
          <w:sz w:val="24"/>
          <w:szCs w:val="24"/>
        </w:rPr>
        <w:t xml:space="preserve">quiénes son los responsables </w:t>
      </w:r>
      <w:r w:rsidR="001419BD">
        <w:rPr>
          <w:rFonts w:asciiTheme="majorHAnsi" w:hAnsiTheme="majorHAnsi"/>
          <w:sz w:val="24"/>
          <w:szCs w:val="24"/>
        </w:rPr>
        <w:t xml:space="preserve">de que las </w:t>
      </w:r>
      <w:r>
        <w:rPr>
          <w:rFonts w:asciiTheme="majorHAnsi" w:hAnsiTheme="majorHAnsi"/>
          <w:sz w:val="24"/>
          <w:szCs w:val="24"/>
        </w:rPr>
        <w:t xml:space="preserve">próximas y futuras </w:t>
      </w:r>
      <w:r w:rsidR="001419BD">
        <w:rPr>
          <w:rFonts w:asciiTheme="majorHAnsi" w:hAnsiTheme="majorHAnsi"/>
          <w:sz w:val="24"/>
          <w:szCs w:val="24"/>
        </w:rPr>
        <w:t>elecciones no estén rodeadas de las garantías</w:t>
      </w:r>
      <w:r w:rsidR="001419BD" w:rsidRPr="001419BD">
        <w:rPr>
          <w:rFonts w:asciiTheme="majorHAnsi" w:hAnsiTheme="majorHAnsi"/>
          <w:sz w:val="24"/>
          <w:szCs w:val="24"/>
        </w:rPr>
        <w:t xml:space="preserve"> </w:t>
      </w:r>
      <w:r w:rsidR="00127BBA">
        <w:rPr>
          <w:rFonts w:asciiTheme="majorHAnsi" w:hAnsiTheme="majorHAnsi"/>
          <w:sz w:val="24"/>
          <w:szCs w:val="24"/>
        </w:rPr>
        <w:t xml:space="preserve">imprescindibles para ser </w:t>
      </w:r>
      <w:r w:rsidR="001419BD" w:rsidRPr="00EA66E4">
        <w:rPr>
          <w:rFonts w:ascii="Cambria" w:hAnsi="Cambria"/>
          <w:sz w:val="24"/>
          <w:szCs w:val="24"/>
        </w:rPr>
        <w:t>“</w:t>
      </w:r>
      <w:r w:rsidR="001419BD" w:rsidRPr="00EA66E4">
        <w:rPr>
          <w:rFonts w:ascii="Cambria" w:hAnsi="Cambria"/>
          <w:i/>
          <w:sz w:val="24"/>
          <w:szCs w:val="24"/>
        </w:rPr>
        <w:t>genuina expresión de la voluntad del electorado</w:t>
      </w:r>
      <w:r w:rsidR="001419BD" w:rsidRPr="00EA66E4">
        <w:rPr>
          <w:rFonts w:ascii="Cambria" w:hAnsi="Cambria"/>
          <w:sz w:val="24"/>
          <w:szCs w:val="24"/>
        </w:rPr>
        <w:t>”</w:t>
      </w:r>
      <w:r w:rsidR="001419BD">
        <w:rPr>
          <w:rFonts w:ascii="Cambria" w:hAnsi="Cambria"/>
          <w:sz w:val="24"/>
          <w:szCs w:val="24"/>
        </w:rPr>
        <w:t>,</w:t>
      </w:r>
    </w:p>
    <w:p w:rsidR="00437539" w:rsidRDefault="001419BD" w:rsidP="00E24FCB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hipotético silencio de la Corte o un</w:t>
      </w:r>
      <w:r w:rsidR="00127BBA">
        <w:rPr>
          <w:rFonts w:ascii="Cambria" w:hAnsi="Cambria"/>
          <w:sz w:val="24"/>
          <w:szCs w:val="24"/>
        </w:rPr>
        <w:t>o de esos</w:t>
      </w:r>
      <w:r>
        <w:rPr>
          <w:rFonts w:ascii="Cambria" w:hAnsi="Cambria"/>
          <w:sz w:val="24"/>
          <w:szCs w:val="24"/>
        </w:rPr>
        <w:t xml:space="preserve"> fallo</w:t>
      </w:r>
      <w:r w:rsidR="00127BB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que </w:t>
      </w:r>
      <w:r w:rsidR="00127BBA">
        <w:rPr>
          <w:rFonts w:ascii="Cambria" w:hAnsi="Cambria"/>
          <w:sz w:val="24"/>
          <w:szCs w:val="24"/>
        </w:rPr>
        <w:t xml:space="preserve">escapan por la tangente </w:t>
      </w:r>
      <w:r>
        <w:rPr>
          <w:rFonts w:ascii="Cambria" w:hAnsi="Cambria"/>
          <w:sz w:val="24"/>
          <w:szCs w:val="24"/>
        </w:rPr>
        <w:t>declaran</w:t>
      </w:r>
      <w:r w:rsidR="00127BBA"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z w:val="24"/>
          <w:szCs w:val="24"/>
        </w:rPr>
        <w:t xml:space="preserve"> “abstractos” los casos, hubiera dejado en la nebulosa las responsabilidades del alto tribunal ante este verdadero </w:t>
      </w:r>
      <w:r w:rsidR="006C4C8E" w:rsidRPr="006C4C8E">
        <w:rPr>
          <w:rFonts w:asciiTheme="majorHAnsi" w:hAnsiTheme="majorHAnsi"/>
          <w:i/>
          <w:sz w:val="24"/>
          <w:szCs w:val="24"/>
        </w:rPr>
        <w:t xml:space="preserve">“legal </w:t>
      </w:r>
      <w:proofErr w:type="spellStart"/>
      <w:r w:rsidR="006C4C8E" w:rsidRPr="006C4C8E">
        <w:rPr>
          <w:rFonts w:asciiTheme="majorHAnsi" w:hAnsiTheme="majorHAnsi"/>
          <w:i/>
          <w:sz w:val="24"/>
          <w:szCs w:val="24"/>
        </w:rPr>
        <w:t>scandalum</w:t>
      </w:r>
      <w:proofErr w:type="spellEnd"/>
      <w:r w:rsidR="006C4C8E" w:rsidRPr="006C4C8E">
        <w:rPr>
          <w:rFonts w:asciiTheme="majorHAnsi" w:hAnsiTheme="majorHAnsi"/>
          <w:i/>
          <w:sz w:val="24"/>
          <w:szCs w:val="24"/>
        </w:rPr>
        <w:t>”</w:t>
      </w:r>
      <w:r w:rsidR="006C4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contrario a los derechos fundamentales que tutelan el voto y la </w:t>
      </w:r>
      <w:r w:rsidR="00127BBA">
        <w:rPr>
          <w:rFonts w:ascii="Cambria" w:hAnsi="Cambria"/>
          <w:sz w:val="24"/>
          <w:szCs w:val="24"/>
        </w:rPr>
        <w:t xml:space="preserve">libre y auténtica </w:t>
      </w:r>
      <w:r>
        <w:rPr>
          <w:rFonts w:ascii="Cambria" w:hAnsi="Cambria"/>
          <w:sz w:val="24"/>
          <w:szCs w:val="24"/>
        </w:rPr>
        <w:t>expresión colectiva del electorado.</w:t>
      </w:r>
      <w:r w:rsidR="00C54AFD">
        <w:rPr>
          <w:rFonts w:ascii="Cambria" w:hAnsi="Cambria"/>
          <w:sz w:val="24"/>
          <w:szCs w:val="24"/>
        </w:rPr>
        <w:t xml:space="preserve">  </w:t>
      </w:r>
    </w:p>
    <w:p w:rsidR="001419BD" w:rsidRDefault="001419BD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Destaco</w:t>
      </w:r>
      <w:r w:rsidR="00E24FCB">
        <w:rPr>
          <w:rFonts w:asciiTheme="majorHAnsi" w:hAnsiTheme="majorHAnsi"/>
          <w:sz w:val="24"/>
          <w:szCs w:val="24"/>
        </w:rPr>
        <w:t xml:space="preserve"> también </w:t>
      </w:r>
      <w:r>
        <w:rPr>
          <w:rFonts w:asciiTheme="majorHAnsi" w:hAnsiTheme="majorHAnsi"/>
          <w:sz w:val="24"/>
          <w:szCs w:val="24"/>
        </w:rPr>
        <w:t>la pertinencia del dictamen emitido por el señor Fiscal de Corte</w:t>
      </w:r>
      <w:r w:rsidR="00E24FCB">
        <w:rPr>
          <w:rFonts w:asciiTheme="majorHAnsi" w:hAnsiTheme="majorHAnsi"/>
          <w:sz w:val="24"/>
          <w:szCs w:val="24"/>
        </w:rPr>
        <w:t xml:space="preserve"> y que el alto tribunal</w:t>
      </w:r>
      <w:r>
        <w:rPr>
          <w:rFonts w:asciiTheme="majorHAnsi" w:hAnsiTheme="majorHAnsi"/>
          <w:sz w:val="24"/>
          <w:szCs w:val="24"/>
        </w:rPr>
        <w:t xml:space="preserve">, desdeñando su rectitud jurídica, </w:t>
      </w:r>
      <w:r w:rsidR="00127BBA">
        <w:rPr>
          <w:rFonts w:asciiTheme="majorHAnsi" w:hAnsiTheme="majorHAnsi"/>
          <w:sz w:val="24"/>
          <w:szCs w:val="24"/>
        </w:rPr>
        <w:t>ha despachado en una línea</w:t>
      </w:r>
      <w:r w:rsidR="00E24FCB">
        <w:rPr>
          <w:rFonts w:asciiTheme="majorHAnsi" w:hAnsiTheme="majorHAnsi"/>
          <w:sz w:val="24"/>
          <w:szCs w:val="24"/>
        </w:rPr>
        <w:t xml:space="preserve"> sin siquiera </w:t>
      </w:r>
      <w:r>
        <w:rPr>
          <w:rFonts w:asciiTheme="majorHAnsi" w:hAnsiTheme="majorHAnsi"/>
          <w:sz w:val="24"/>
          <w:szCs w:val="24"/>
        </w:rPr>
        <w:t>tomar</w:t>
      </w:r>
      <w:r w:rsidR="00127BBA">
        <w:rPr>
          <w:rFonts w:asciiTheme="majorHAnsi" w:hAnsiTheme="majorHAnsi"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en consideración</w:t>
      </w:r>
      <w:r w:rsidR="00127BBA">
        <w:rPr>
          <w:rFonts w:asciiTheme="majorHAnsi" w:hAnsiTheme="majorHAnsi"/>
          <w:sz w:val="24"/>
          <w:szCs w:val="24"/>
        </w:rPr>
        <w:t xml:space="preserve">. </w:t>
      </w:r>
    </w:p>
    <w:p w:rsidR="001419BD" w:rsidRPr="00127BBA" w:rsidRDefault="00127BBA" w:rsidP="00E24FCB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127BBA">
        <w:rPr>
          <w:rFonts w:asciiTheme="majorHAnsi" w:hAnsiTheme="majorHAnsi"/>
          <w:i/>
          <w:sz w:val="24"/>
          <w:szCs w:val="24"/>
        </w:rPr>
        <w:t xml:space="preserve">La curiosa construcción de la </w:t>
      </w:r>
      <w:r w:rsidR="006A5796">
        <w:rPr>
          <w:rFonts w:asciiTheme="majorHAnsi" w:hAnsiTheme="majorHAnsi"/>
          <w:i/>
          <w:sz w:val="24"/>
          <w:szCs w:val="24"/>
        </w:rPr>
        <w:t xml:space="preserve">Corte de Justicia </w:t>
      </w:r>
    </w:p>
    <w:p w:rsidR="00127BBA" w:rsidRDefault="006A5796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Como saben los estudiantes de Derecho, toda Sentencia ha de constar de</w:t>
      </w:r>
      <w:r w:rsidR="00B72A9C">
        <w:rPr>
          <w:rFonts w:asciiTheme="majorHAnsi" w:hAnsiTheme="majorHAnsi"/>
          <w:sz w:val="24"/>
          <w:szCs w:val="24"/>
        </w:rPr>
        <w:t>: a) U</w:t>
      </w:r>
      <w:r>
        <w:rPr>
          <w:rFonts w:asciiTheme="majorHAnsi" w:hAnsiTheme="majorHAnsi"/>
          <w:sz w:val="24"/>
          <w:szCs w:val="24"/>
        </w:rPr>
        <w:t>n encabezamiento</w:t>
      </w:r>
      <w:r w:rsidR="00B72A9C">
        <w:rPr>
          <w:rFonts w:asciiTheme="majorHAnsi" w:hAnsiTheme="majorHAnsi"/>
          <w:sz w:val="24"/>
          <w:szCs w:val="24"/>
        </w:rPr>
        <w:t>; b) U</w:t>
      </w:r>
      <w:r>
        <w:rPr>
          <w:rFonts w:asciiTheme="majorHAnsi" w:hAnsiTheme="majorHAnsi"/>
          <w:sz w:val="24"/>
          <w:szCs w:val="24"/>
        </w:rPr>
        <w:t>n relato de las pretensiones de las partes (“resultando”)</w:t>
      </w:r>
      <w:r w:rsidR="00B72A9C">
        <w:rPr>
          <w:rFonts w:asciiTheme="majorHAnsi" w:hAnsiTheme="majorHAnsi"/>
          <w:sz w:val="24"/>
          <w:szCs w:val="24"/>
        </w:rPr>
        <w:t>; c) “</w:t>
      </w:r>
      <w:r w:rsidR="00B72A9C" w:rsidRPr="00B72A9C">
        <w:rPr>
          <w:rFonts w:asciiTheme="majorHAnsi" w:hAnsiTheme="majorHAnsi"/>
          <w:i/>
          <w:sz w:val="24"/>
          <w:szCs w:val="24"/>
        </w:rPr>
        <w:t xml:space="preserve">La </w:t>
      </w:r>
      <w:r w:rsidRPr="00B72A9C">
        <w:rPr>
          <w:rFonts w:asciiTheme="majorHAnsi" w:hAnsiTheme="majorHAnsi"/>
          <w:i/>
          <w:sz w:val="24"/>
          <w:szCs w:val="24"/>
        </w:rPr>
        <w:t>consideración por separado</w:t>
      </w:r>
      <w:r w:rsidR="00B72A9C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de las cuestiones que surgen del “resultando”</w:t>
      </w:r>
      <w:r w:rsidR="00B72A9C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y </w:t>
      </w:r>
      <w:r w:rsidR="00B72A9C">
        <w:rPr>
          <w:rFonts w:asciiTheme="majorHAnsi" w:hAnsiTheme="majorHAnsi"/>
          <w:sz w:val="24"/>
          <w:szCs w:val="24"/>
        </w:rPr>
        <w:t>d) U</w:t>
      </w:r>
      <w:r>
        <w:rPr>
          <w:rFonts w:asciiTheme="majorHAnsi" w:hAnsiTheme="majorHAnsi"/>
          <w:sz w:val="24"/>
          <w:szCs w:val="24"/>
        </w:rPr>
        <w:t>na decisión “</w:t>
      </w:r>
      <w:r w:rsidRPr="006A5796">
        <w:rPr>
          <w:rFonts w:asciiTheme="majorHAnsi" w:hAnsiTheme="majorHAnsi"/>
          <w:i/>
          <w:sz w:val="24"/>
          <w:szCs w:val="24"/>
        </w:rPr>
        <w:t>expresa, positiva y precisa de conformidad con las pretensiones deducidas en el juicio</w:t>
      </w:r>
      <w:r>
        <w:rPr>
          <w:rFonts w:asciiTheme="majorHAnsi" w:hAnsiTheme="majorHAnsi"/>
          <w:sz w:val="24"/>
          <w:szCs w:val="24"/>
        </w:rPr>
        <w:t>”.</w:t>
      </w:r>
      <w:r w:rsidR="00B72A9C">
        <w:rPr>
          <w:rFonts w:asciiTheme="majorHAnsi" w:hAnsiTheme="majorHAnsi"/>
          <w:sz w:val="24"/>
          <w:szCs w:val="24"/>
        </w:rPr>
        <w:t xml:space="preserve"> Lo manda expresamente el artículo 163 de nuestro Código de Procedimientos.</w:t>
      </w:r>
    </w:p>
    <w:p w:rsidR="00B72A9C" w:rsidRDefault="00B72A9C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Pues bien, el fallo que deniega las garantías electorales pedidas viola este principio elemental. O sea, además de ignorar y minorar los derechos fundamentales en juego (que son los derechos fundamentales de todos los ciudadanos, no sólo de los candidatos que concurren a la inminente cita electoral), la Corte incurre en gr</w:t>
      </w:r>
      <w:r w:rsidR="00E24FCB">
        <w:rPr>
          <w:rFonts w:asciiTheme="majorHAnsi" w:hAnsiTheme="majorHAnsi"/>
          <w:sz w:val="24"/>
          <w:szCs w:val="24"/>
        </w:rPr>
        <w:t>av</w:t>
      </w:r>
      <w:r>
        <w:rPr>
          <w:rFonts w:asciiTheme="majorHAnsi" w:hAnsiTheme="majorHAnsi"/>
          <w:sz w:val="24"/>
          <w:szCs w:val="24"/>
        </w:rPr>
        <w:t>e incongruencia.</w:t>
      </w:r>
    </w:p>
    <w:p w:rsidR="00B72A9C" w:rsidRDefault="00B72A9C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Nuestro alto Tribunal, guiándose </w:t>
      </w:r>
      <w:r w:rsidR="00E24FCB">
        <w:rPr>
          <w:rFonts w:asciiTheme="majorHAnsi" w:hAnsiTheme="majorHAnsi"/>
          <w:sz w:val="24"/>
          <w:szCs w:val="24"/>
        </w:rPr>
        <w:t xml:space="preserve">quizá </w:t>
      </w:r>
      <w:r>
        <w:rPr>
          <w:rFonts w:asciiTheme="majorHAnsi" w:hAnsiTheme="majorHAnsi"/>
          <w:sz w:val="24"/>
          <w:szCs w:val="24"/>
        </w:rPr>
        <w:t>por falsos trascendidos, tenía previsto recibir una impugnación sobre lo ocurrido en las PASO del 12 de abril</w:t>
      </w:r>
      <w:r w:rsidR="00BF2065">
        <w:rPr>
          <w:rFonts w:asciiTheme="majorHAnsi" w:hAnsiTheme="majorHAnsi"/>
          <w:sz w:val="24"/>
          <w:szCs w:val="24"/>
        </w:rPr>
        <w:t xml:space="preserve">, y recogió </w:t>
      </w:r>
      <w:r>
        <w:rPr>
          <w:rFonts w:asciiTheme="majorHAnsi" w:hAnsiTheme="majorHAnsi"/>
          <w:sz w:val="24"/>
          <w:szCs w:val="24"/>
        </w:rPr>
        <w:t>fundamentos que cerraran e</w:t>
      </w:r>
      <w:r w:rsidR="006C4C8E">
        <w:rPr>
          <w:rFonts w:asciiTheme="majorHAnsi" w:hAnsiTheme="majorHAnsi"/>
          <w:sz w:val="24"/>
          <w:szCs w:val="24"/>
        </w:rPr>
        <w:t>ste hipotético c</w:t>
      </w:r>
      <w:r>
        <w:rPr>
          <w:rFonts w:asciiTheme="majorHAnsi" w:hAnsiTheme="majorHAnsi"/>
          <w:sz w:val="24"/>
          <w:szCs w:val="24"/>
        </w:rPr>
        <w:t>aso por preclusión, vencimiento de plazos, o ausencia de pruebas de fraude.</w:t>
      </w:r>
    </w:p>
    <w:p w:rsidR="00B72A9C" w:rsidRDefault="00B72A9C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 embargo, como bien lo dice el “resultando”, el caso sometido a su consideración no era este de las PASO, sino el de las ausentes garantías que oscurecen las próximas elecciones del domingo.</w:t>
      </w:r>
    </w:p>
    <w:p w:rsidR="00B72A9C" w:rsidRDefault="00B72A9C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sea: En los “considerandos”, la Corte razona para rechazar una impugnación no formulada; y guarda silencio sobre el caso </w:t>
      </w:r>
      <w:r w:rsidR="00BF2065">
        <w:rPr>
          <w:rFonts w:asciiTheme="majorHAnsi" w:hAnsiTheme="majorHAnsi"/>
          <w:sz w:val="24"/>
          <w:szCs w:val="24"/>
        </w:rPr>
        <w:t xml:space="preserve">de tutela constitucional que </w:t>
      </w:r>
      <w:r>
        <w:rPr>
          <w:rFonts w:asciiTheme="majorHAnsi" w:hAnsiTheme="majorHAnsi"/>
          <w:sz w:val="24"/>
          <w:szCs w:val="24"/>
        </w:rPr>
        <w:t>le fue</w:t>
      </w:r>
      <w:r w:rsidR="00BF2065">
        <w:rPr>
          <w:rFonts w:asciiTheme="majorHAnsi" w:hAnsiTheme="majorHAnsi"/>
          <w:sz w:val="24"/>
          <w:szCs w:val="24"/>
        </w:rPr>
        <w:t>ra</w:t>
      </w:r>
      <w:r>
        <w:rPr>
          <w:rFonts w:asciiTheme="majorHAnsi" w:hAnsiTheme="majorHAnsi"/>
          <w:sz w:val="24"/>
          <w:szCs w:val="24"/>
        </w:rPr>
        <w:t xml:space="preserve"> sometido a consideración</w:t>
      </w:r>
      <w:r w:rsidR="00BF2065">
        <w:rPr>
          <w:rFonts w:asciiTheme="majorHAnsi" w:hAnsiTheme="majorHAnsi"/>
          <w:sz w:val="24"/>
          <w:szCs w:val="24"/>
        </w:rPr>
        <w:t xml:space="preserve">. </w:t>
      </w:r>
      <w:r w:rsidR="00204AC0">
        <w:rPr>
          <w:rFonts w:asciiTheme="majorHAnsi" w:hAnsiTheme="majorHAnsi"/>
          <w:sz w:val="24"/>
          <w:szCs w:val="24"/>
        </w:rPr>
        <w:t xml:space="preserve">Luego de estos </w:t>
      </w:r>
      <w:r w:rsidR="00BF2065">
        <w:rPr>
          <w:rFonts w:asciiTheme="majorHAnsi" w:hAnsiTheme="majorHAnsi"/>
          <w:sz w:val="24"/>
          <w:szCs w:val="24"/>
        </w:rPr>
        <w:t>“</w:t>
      </w:r>
      <w:r w:rsidR="00204AC0">
        <w:rPr>
          <w:rFonts w:asciiTheme="majorHAnsi" w:hAnsiTheme="majorHAnsi"/>
          <w:sz w:val="24"/>
          <w:szCs w:val="24"/>
        </w:rPr>
        <w:t>considerandos</w:t>
      </w:r>
      <w:r w:rsidR="00BF2065">
        <w:rPr>
          <w:rFonts w:asciiTheme="majorHAnsi" w:hAnsiTheme="majorHAnsi"/>
          <w:sz w:val="24"/>
          <w:szCs w:val="24"/>
        </w:rPr>
        <w:t>”</w:t>
      </w:r>
      <w:r w:rsidR="00204AC0">
        <w:rPr>
          <w:rFonts w:asciiTheme="majorHAnsi" w:hAnsiTheme="majorHAnsi"/>
          <w:sz w:val="24"/>
          <w:szCs w:val="24"/>
        </w:rPr>
        <w:t xml:space="preserve"> que hablan de </w:t>
      </w:r>
      <w:r w:rsidR="00BF2065">
        <w:rPr>
          <w:rFonts w:asciiTheme="majorHAnsi" w:hAnsiTheme="majorHAnsi"/>
          <w:sz w:val="24"/>
          <w:szCs w:val="24"/>
        </w:rPr>
        <w:t xml:space="preserve">un </w:t>
      </w:r>
      <w:r w:rsidR="00204AC0">
        <w:rPr>
          <w:rFonts w:asciiTheme="majorHAnsi" w:hAnsiTheme="majorHAnsi"/>
          <w:sz w:val="24"/>
          <w:szCs w:val="24"/>
        </w:rPr>
        <w:t xml:space="preserve">caso </w:t>
      </w:r>
      <w:r w:rsidR="00BF2065">
        <w:rPr>
          <w:rFonts w:asciiTheme="majorHAnsi" w:hAnsiTheme="majorHAnsi"/>
          <w:sz w:val="24"/>
          <w:szCs w:val="24"/>
        </w:rPr>
        <w:t xml:space="preserve">distinto </w:t>
      </w:r>
      <w:r w:rsidR="00204AC0">
        <w:rPr>
          <w:rFonts w:asciiTheme="majorHAnsi" w:hAnsiTheme="majorHAnsi"/>
          <w:sz w:val="24"/>
          <w:szCs w:val="24"/>
        </w:rPr>
        <w:t xml:space="preserve">y callan sobre el asunto litigioso, resuelve “rechazar </w:t>
      </w:r>
      <w:r w:rsidR="00BF2065">
        <w:rPr>
          <w:rFonts w:asciiTheme="majorHAnsi" w:hAnsiTheme="majorHAnsi"/>
          <w:sz w:val="24"/>
          <w:szCs w:val="24"/>
        </w:rPr>
        <w:t>i</w:t>
      </w:r>
      <w:r w:rsidR="00204AC0">
        <w:rPr>
          <w:rFonts w:asciiTheme="majorHAnsi" w:hAnsiTheme="majorHAnsi"/>
          <w:sz w:val="24"/>
          <w:szCs w:val="24"/>
        </w:rPr>
        <w:t>n límine el recurso de inconstitucionalidad”.</w:t>
      </w:r>
    </w:p>
    <w:p w:rsidR="00BF2065" w:rsidRDefault="00BF2065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Apelando a tan extraña construcción, l</w:t>
      </w:r>
      <w:r w:rsidR="00204AC0">
        <w:rPr>
          <w:rFonts w:asciiTheme="majorHAnsi" w:hAnsiTheme="majorHAnsi"/>
          <w:sz w:val="24"/>
          <w:szCs w:val="24"/>
        </w:rPr>
        <w:t>a Corte omit</w:t>
      </w:r>
      <w:r>
        <w:rPr>
          <w:rFonts w:asciiTheme="majorHAnsi" w:hAnsiTheme="majorHAnsi"/>
          <w:sz w:val="24"/>
          <w:szCs w:val="24"/>
        </w:rPr>
        <w:t>ió</w:t>
      </w:r>
      <w:r w:rsidR="00204AC0">
        <w:rPr>
          <w:rFonts w:asciiTheme="majorHAnsi" w:hAnsiTheme="majorHAnsi"/>
          <w:sz w:val="24"/>
          <w:szCs w:val="24"/>
        </w:rPr>
        <w:t xml:space="preserve"> pronunciarse sobre el derecho de los partidos políticos a; </w:t>
      </w:r>
    </w:p>
    <w:p w:rsidR="00BF2065" w:rsidRPr="00015AD5" w:rsidRDefault="00204AC0" w:rsidP="00015AD5">
      <w:pPr>
        <w:pStyle w:val="Prrafodelista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015AD5">
        <w:rPr>
          <w:rFonts w:asciiTheme="majorHAnsi" w:hAnsiTheme="majorHAnsi"/>
          <w:sz w:val="24"/>
          <w:szCs w:val="24"/>
        </w:rPr>
        <w:t xml:space="preserve">Auditar el código fuente; </w:t>
      </w:r>
    </w:p>
    <w:p w:rsidR="00BF2065" w:rsidRPr="00015AD5" w:rsidRDefault="00204AC0" w:rsidP="00015AD5">
      <w:pPr>
        <w:pStyle w:val="Prrafodelista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015AD5">
        <w:rPr>
          <w:rFonts w:asciiTheme="majorHAnsi" w:hAnsiTheme="majorHAnsi"/>
          <w:sz w:val="24"/>
          <w:szCs w:val="24"/>
        </w:rPr>
        <w:t xml:space="preserve">Conocer el software que se aplica al escrutinio informático provisorio y a la transmisión de datos (derecho reconocido en el Pliego de la Licitación que terminó adjudicada a la firma MSA); </w:t>
      </w:r>
      <w:r w:rsidR="00BF2065" w:rsidRPr="00015AD5">
        <w:rPr>
          <w:rFonts w:asciiTheme="majorHAnsi" w:hAnsiTheme="majorHAnsi"/>
          <w:sz w:val="24"/>
          <w:szCs w:val="24"/>
        </w:rPr>
        <w:t>y</w:t>
      </w:r>
    </w:p>
    <w:p w:rsidR="00204AC0" w:rsidRPr="00015AD5" w:rsidRDefault="00204AC0" w:rsidP="00015AD5">
      <w:pPr>
        <w:pStyle w:val="Prrafodelista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015AD5">
        <w:rPr>
          <w:rFonts w:asciiTheme="majorHAnsi" w:hAnsiTheme="majorHAnsi"/>
          <w:sz w:val="24"/>
          <w:szCs w:val="24"/>
        </w:rPr>
        <w:t xml:space="preserve">Realizar un conteo manual </w:t>
      </w:r>
      <w:r w:rsidR="006C4C8E">
        <w:rPr>
          <w:rFonts w:asciiTheme="majorHAnsi" w:hAnsiTheme="majorHAnsi"/>
          <w:sz w:val="24"/>
          <w:szCs w:val="24"/>
        </w:rPr>
        <w:t xml:space="preserve">y certificado </w:t>
      </w:r>
      <w:r w:rsidRPr="00015AD5">
        <w:rPr>
          <w:rFonts w:asciiTheme="majorHAnsi" w:hAnsiTheme="majorHAnsi"/>
          <w:sz w:val="24"/>
          <w:szCs w:val="24"/>
        </w:rPr>
        <w:t>a través de sus fiscales de mesa</w:t>
      </w:r>
      <w:r w:rsidR="006C4C8E">
        <w:rPr>
          <w:rFonts w:asciiTheme="majorHAnsi" w:hAnsiTheme="majorHAnsi"/>
          <w:sz w:val="24"/>
          <w:szCs w:val="24"/>
        </w:rPr>
        <w:t>.</w:t>
      </w:r>
    </w:p>
    <w:p w:rsidR="00204AC0" w:rsidRDefault="00204AC0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un exceso de celo corporativo, la Corte declara la soberanía del Tribunal Electoral cuando señala que sus decisiones y silencios son irrevisables.</w:t>
      </w:r>
    </w:p>
    <w:p w:rsidR="00E24FCB" w:rsidRDefault="00204AC0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fundar </w:t>
      </w:r>
      <w:r w:rsidR="00BF2065">
        <w:rPr>
          <w:rFonts w:asciiTheme="majorHAnsi" w:hAnsiTheme="majorHAnsi"/>
          <w:sz w:val="24"/>
          <w:szCs w:val="24"/>
        </w:rPr>
        <w:t xml:space="preserve">el rechazo </w:t>
      </w:r>
      <w:r>
        <w:rPr>
          <w:rFonts w:asciiTheme="majorHAnsi" w:hAnsiTheme="majorHAnsi"/>
          <w:sz w:val="24"/>
          <w:szCs w:val="24"/>
        </w:rPr>
        <w:t xml:space="preserve">sin trámite, la Corte introduce </w:t>
      </w:r>
      <w:r w:rsidR="00BF2065">
        <w:rPr>
          <w:rFonts w:asciiTheme="majorHAnsi" w:hAnsiTheme="majorHAnsi"/>
          <w:sz w:val="24"/>
          <w:szCs w:val="24"/>
        </w:rPr>
        <w:t xml:space="preserve">otro </w:t>
      </w:r>
      <w:r>
        <w:rPr>
          <w:rFonts w:asciiTheme="majorHAnsi" w:hAnsiTheme="majorHAnsi"/>
          <w:sz w:val="24"/>
          <w:szCs w:val="24"/>
        </w:rPr>
        <w:t>argumento insostenible: Que los partidos consintieron el Decreto de Convocatoria</w:t>
      </w:r>
      <w:r w:rsidR="00BF2065">
        <w:rPr>
          <w:rFonts w:asciiTheme="majorHAnsi" w:hAnsiTheme="majorHAnsi"/>
          <w:sz w:val="24"/>
          <w:szCs w:val="24"/>
        </w:rPr>
        <w:t xml:space="preserve"> y la ley de voto con boleta electrónica</w:t>
      </w:r>
      <w:r>
        <w:rPr>
          <w:rFonts w:asciiTheme="majorHAnsi" w:hAnsiTheme="majorHAnsi"/>
          <w:sz w:val="24"/>
          <w:szCs w:val="24"/>
        </w:rPr>
        <w:t xml:space="preserve">. </w:t>
      </w:r>
      <w:r w:rsidR="00015AD5">
        <w:rPr>
          <w:rFonts w:asciiTheme="majorHAnsi" w:hAnsiTheme="majorHAnsi"/>
          <w:sz w:val="24"/>
          <w:szCs w:val="24"/>
        </w:rPr>
        <w:t>I</w:t>
      </w:r>
      <w:r w:rsidR="00BF2065">
        <w:rPr>
          <w:rFonts w:asciiTheme="majorHAnsi" w:hAnsiTheme="majorHAnsi"/>
          <w:sz w:val="24"/>
          <w:szCs w:val="24"/>
        </w:rPr>
        <w:t xml:space="preserve">gnora que las violaciones a los derechos fundamentales no pueden nunca ser consentidas. </w:t>
      </w:r>
      <w:r w:rsidR="00015AD5">
        <w:rPr>
          <w:rFonts w:asciiTheme="majorHAnsi" w:hAnsiTheme="majorHAnsi"/>
          <w:sz w:val="24"/>
          <w:szCs w:val="24"/>
        </w:rPr>
        <w:t xml:space="preserve">E ignora también que el recurso pretende que se cumplan las garantías de la Ley 7.730 negadas por el Tribunal Electoral. </w:t>
      </w:r>
    </w:p>
    <w:p w:rsidR="00B72A9C" w:rsidRPr="00C54AFD" w:rsidRDefault="00E24FCB" w:rsidP="00E24FCB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Pese a </w:t>
      </w:r>
      <w:r w:rsidR="006C4C8E">
        <w:rPr>
          <w:rFonts w:asciiTheme="majorHAnsi" w:hAnsiTheme="majorHAnsi"/>
          <w:sz w:val="24"/>
          <w:szCs w:val="24"/>
        </w:rPr>
        <w:t>la contumacia</w:t>
      </w:r>
      <w:r>
        <w:rPr>
          <w:rFonts w:asciiTheme="majorHAnsi" w:hAnsiTheme="majorHAnsi"/>
          <w:sz w:val="24"/>
          <w:szCs w:val="24"/>
        </w:rPr>
        <w:t>, la lucha por la transparencia del sufrago en Salta no ha hecho más que comenzar. Esper</w:t>
      </w:r>
      <w:r w:rsidR="006C4C8E">
        <w:rPr>
          <w:rFonts w:asciiTheme="majorHAnsi" w:hAnsiTheme="majorHAnsi"/>
          <w:sz w:val="24"/>
          <w:szCs w:val="24"/>
        </w:rPr>
        <w:t xml:space="preserve">emos </w:t>
      </w:r>
      <w:r>
        <w:rPr>
          <w:rFonts w:asciiTheme="majorHAnsi" w:hAnsiTheme="majorHAnsi"/>
          <w:sz w:val="24"/>
          <w:szCs w:val="24"/>
        </w:rPr>
        <w:t xml:space="preserve">que dure menos </w:t>
      </w:r>
      <w:r w:rsidR="006C4C8E">
        <w:rPr>
          <w:rFonts w:asciiTheme="majorHAnsi" w:hAnsiTheme="majorHAnsi"/>
          <w:sz w:val="24"/>
          <w:szCs w:val="24"/>
        </w:rPr>
        <w:t xml:space="preserve">de lo </w:t>
      </w:r>
      <w:r>
        <w:rPr>
          <w:rFonts w:asciiTheme="majorHAnsi" w:hAnsiTheme="majorHAnsi"/>
          <w:sz w:val="24"/>
          <w:szCs w:val="24"/>
        </w:rPr>
        <w:t>que le llevó a Irigoyen liquidar el fraude y establecer una democracia republicana.</w:t>
      </w:r>
      <w:r w:rsidR="00204AC0">
        <w:rPr>
          <w:rFonts w:asciiTheme="majorHAnsi" w:hAnsiTheme="majorHAnsi"/>
          <w:sz w:val="24"/>
          <w:szCs w:val="24"/>
        </w:rPr>
        <w:t xml:space="preserve"> </w:t>
      </w:r>
    </w:p>
    <w:sectPr w:rsidR="00B72A9C" w:rsidRPr="00C54AFD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713"/>
    <w:multiLevelType w:val="hybridMultilevel"/>
    <w:tmpl w:val="3DB46C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EA3"/>
    <w:multiLevelType w:val="hybridMultilevel"/>
    <w:tmpl w:val="A96629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4"/>
    <w:rsid w:val="00015AD5"/>
    <w:rsid w:val="00127BBA"/>
    <w:rsid w:val="001419BD"/>
    <w:rsid w:val="00204AC0"/>
    <w:rsid w:val="00295D76"/>
    <w:rsid w:val="00343784"/>
    <w:rsid w:val="00437539"/>
    <w:rsid w:val="004A5EE0"/>
    <w:rsid w:val="004C6DC3"/>
    <w:rsid w:val="00627DD5"/>
    <w:rsid w:val="006A5796"/>
    <w:rsid w:val="006C4C8E"/>
    <w:rsid w:val="00B72A9C"/>
    <w:rsid w:val="00BF2065"/>
    <w:rsid w:val="00C54AFD"/>
    <w:rsid w:val="00C953EE"/>
    <w:rsid w:val="00E2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43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3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43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3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cp:lastPrinted>2015-05-14T14:40:00Z</cp:lastPrinted>
  <dcterms:created xsi:type="dcterms:W3CDTF">2015-05-14T12:31:00Z</dcterms:created>
  <dcterms:modified xsi:type="dcterms:W3CDTF">2015-05-14T14:51:00Z</dcterms:modified>
</cp:coreProperties>
</file>