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18" w:rsidRPr="00084F22" w:rsidRDefault="00626018" w:rsidP="00084F22">
      <w:pPr>
        <w:pStyle w:val="Ttulo"/>
        <w:spacing w:after="0" w:line="276" w:lineRule="auto"/>
        <w:rPr>
          <w:sz w:val="28"/>
          <w:szCs w:val="28"/>
        </w:rPr>
      </w:pPr>
      <w:r w:rsidRPr="00084F22">
        <w:rPr>
          <w:sz w:val="28"/>
          <w:szCs w:val="28"/>
        </w:rPr>
        <w:t>RECURSO EXTRAORDINARIO FEDERAL</w:t>
      </w:r>
      <w:r w:rsidR="00084F22" w:rsidRPr="00084F22">
        <w:rPr>
          <w:sz w:val="28"/>
          <w:szCs w:val="28"/>
        </w:rPr>
        <w:t xml:space="preserve"> - INDICE</w:t>
      </w:r>
    </w:p>
    <w:p w:rsidR="00AE4A33" w:rsidRPr="00084F22" w:rsidRDefault="006B3E5D" w:rsidP="00084F22">
      <w:pPr>
        <w:shd w:val="clear" w:color="auto" w:fill="FFFFFF"/>
        <w:spacing w:after="120"/>
        <w:jc w:val="both"/>
        <w:rPr>
          <w:rFonts w:ascii="Cambria" w:hAnsi="Cambria" w:cs="Arial"/>
          <w:b/>
          <w:color w:val="222222"/>
          <w:lang w:eastAsia="es-AR"/>
        </w:rPr>
      </w:pPr>
      <w:r w:rsidRPr="00084F22">
        <w:rPr>
          <w:rFonts w:ascii="Cambria" w:hAnsi="Cambria" w:cs="Arial"/>
          <w:b/>
          <w:color w:val="222222"/>
          <w:lang w:eastAsia="es-AR"/>
        </w:rPr>
        <w:t xml:space="preserve">I. </w:t>
      </w:r>
      <w:r w:rsidR="00626018" w:rsidRPr="00084F22">
        <w:rPr>
          <w:rFonts w:ascii="Cambria" w:hAnsi="Cambria" w:cs="Arial"/>
          <w:b/>
          <w:color w:val="222222"/>
          <w:lang w:eastAsia="es-AR"/>
        </w:rPr>
        <w:t>OBJETO</w:t>
      </w:r>
    </w:p>
    <w:p w:rsidR="00AE4A33" w:rsidRPr="00084F22" w:rsidRDefault="00AE4A33" w:rsidP="00084F22">
      <w:pPr>
        <w:shd w:val="clear" w:color="auto" w:fill="FFFFFF"/>
        <w:spacing w:after="120"/>
        <w:jc w:val="both"/>
        <w:rPr>
          <w:rFonts w:asciiTheme="majorHAnsi" w:hAnsiTheme="majorHAnsi" w:cs="Arial"/>
          <w:color w:val="222222"/>
          <w:lang w:eastAsia="es-AR"/>
        </w:rPr>
      </w:pPr>
      <w:r w:rsidRPr="00084F22">
        <w:rPr>
          <w:rFonts w:asciiTheme="majorHAnsi" w:hAnsiTheme="majorHAnsi" w:cs="Arial"/>
          <w:color w:val="222222"/>
          <w:lang w:eastAsia="es-AR"/>
        </w:rPr>
        <w:t>1.- OBJETO RELACIONADO CON LA FORMA REPRESENTATIVA Y REPUBLICANA DE GOBIERNO</w:t>
      </w:r>
    </w:p>
    <w:p w:rsidR="00AE4A33" w:rsidRPr="00084F22" w:rsidRDefault="00AE4A33" w:rsidP="00084F22">
      <w:pPr>
        <w:shd w:val="clear" w:color="auto" w:fill="FFFFFF"/>
        <w:spacing w:after="120"/>
        <w:jc w:val="both"/>
        <w:outlineLvl w:val="4"/>
        <w:rPr>
          <w:rFonts w:asciiTheme="majorHAnsi" w:hAnsiTheme="majorHAnsi"/>
        </w:rPr>
      </w:pPr>
      <w:r w:rsidRPr="00084F22">
        <w:rPr>
          <w:rFonts w:asciiTheme="majorHAnsi" w:hAnsiTheme="majorHAnsi"/>
        </w:rPr>
        <w:t>2.- OBJETO RELACIONADO CON EL DERECHO A LA TUTELA JUDICIAL EFECTIVA</w:t>
      </w:r>
    </w:p>
    <w:p w:rsidR="006B3E5D" w:rsidRPr="00084F22" w:rsidRDefault="006B3E5D" w:rsidP="00084F22">
      <w:pPr>
        <w:shd w:val="clear" w:color="auto" w:fill="FFFFFF"/>
        <w:spacing w:after="120"/>
        <w:jc w:val="both"/>
        <w:rPr>
          <w:rFonts w:asciiTheme="majorHAnsi" w:hAnsiTheme="majorHAnsi" w:cs="Arial"/>
          <w:b/>
          <w:color w:val="222222"/>
          <w:lang w:eastAsia="es-AR"/>
        </w:rPr>
      </w:pPr>
      <w:r w:rsidRPr="00084F22">
        <w:rPr>
          <w:rFonts w:asciiTheme="majorHAnsi" w:hAnsiTheme="majorHAnsi" w:cs="Arial"/>
          <w:b/>
          <w:color w:val="222222"/>
          <w:lang w:eastAsia="es-AR"/>
        </w:rPr>
        <w:t>II. OPORTUNIDAD Y ALCANCES DE ESTE RECURSO EXTRAORDINARIO FEDERAL</w:t>
      </w:r>
    </w:p>
    <w:p w:rsidR="006B3E5D" w:rsidRPr="00084F22" w:rsidRDefault="006B3E5D" w:rsidP="00084F22">
      <w:pPr>
        <w:pStyle w:val="Prrafodelista"/>
        <w:numPr>
          <w:ilvl w:val="0"/>
          <w:numId w:val="3"/>
        </w:numPr>
        <w:shd w:val="clear" w:color="auto" w:fill="FFFFFF"/>
        <w:spacing w:after="120"/>
        <w:ind w:left="357" w:hanging="357"/>
        <w:contextualSpacing w:val="0"/>
        <w:rPr>
          <w:rFonts w:asciiTheme="majorHAnsi" w:hAnsiTheme="majorHAnsi" w:cs="Arial"/>
          <w:color w:val="222222"/>
          <w:lang w:eastAsia="es-AR"/>
        </w:rPr>
      </w:pPr>
      <w:r w:rsidRPr="00084F22">
        <w:rPr>
          <w:rFonts w:asciiTheme="majorHAnsi" w:hAnsiTheme="majorHAnsi" w:cs="Arial"/>
          <w:color w:val="222222"/>
          <w:lang w:eastAsia="es-AR"/>
        </w:rPr>
        <w:t xml:space="preserve">ACERCA DE LA OPORTUNIDAD DE ESTA APELACIÓN AL ORDEN FEDERAL </w:t>
      </w:r>
    </w:p>
    <w:p w:rsidR="007C405A" w:rsidRPr="00084F22" w:rsidRDefault="007C405A" w:rsidP="00084F22">
      <w:pPr>
        <w:pStyle w:val="Prrafodelista"/>
        <w:numPr>
          <w:ilvl w:val="1"/>
          <w:numId w:val="5"/>
        </w:numPr>
        <w:shd w:val="clear" w:color="auto" w:fill="FFFFFF"/>
        <w:spacing w:after="120"/>
        <w:jc w:val="both"/>
        <w:rPr>
          <w:rFonts w:asciiTheme="majorHAnsi" w:hAnsiTheme="majorHAnsi" w:cs="Arial"/>
          <w:color w:val="222222"/>
          <w:lang w:eastAsia="es-AR"/>
        </w:rPr>
      </w:pPr>
      <w:r w:rsidRPr="00084F22">
        <w:rPr>
          <w:rFonts w:asciiTheme="majorHAnsi" w:hAnsiTheme="majorHAnsi" w:cs="Arial"/>
          <w:color w:val="222222"/>
          <w:lang w:eastAsia="es-AR"/>
        </w:rPr>
        <w:t xml:space="preserve">Los agravios referidos al </w:t>
      </w:r>
      <w:r w:rsidR="00AE4A33" w:rsidRPr="00084F22">
        <w:rPr>
          <w:rFonts w:asciiTheme="majorHAnsi" w:hAnsiTheme="majorHAnsi" w:cs="Arial"/>
          <w:color w:val="222222"/>
          <w:lang w:eastAsia="es-AR"/>
        </w:rPr>
        <w:t xml:space="preserve">proceso </w:t>
      </w:r>
      <w:r w:rsidRPr="00084F22">
        <w:rPr>
          <w:rFonts w:asciiTheme="majorHAnsi" w:hAnsiTheme="majorHAnsi" w:cs="Arial"/>
          <w:color w:val="222222"/>
          <w:lang w:eastAsia="es-AR"/>
        </w:rPr>
        <w:t xml:space="preserve">electoral </w:t>
      </w:r>
    </w:p>
    <w:p w:rsidR="007C405A" w:rsidRPr="00084F22" w:rsidRDefault="007C405A" w:rsidP="00084F22">
      <w:pPr>
        <w:shd w:val="clear" w:color="auto" w:fill="FFFFFF"/>
        <w:spacing w:after="120"/>
        <w:jc w:val="both"/>
        <w:rPr>
          <w:rFonts w:asciiTheme="majorHAnsi" w:hAnsiTheme="majorHAnsi" w:cs="Arial"/>
          <w:color w:val="222222"/>
          <w:lang w:eastAsia="es-AR"/>
        </w:rPr>
      </w:pPr>
      <w:r w:rsidRPr="00084F22">
        <w:rPr>
          <w:rFonts w:asciiTheme="majorHAnsi" w:hAnsiTheme="majorHAnsi" w:cs="Arial"/>
          <w:color w:val="222222"/>
          <w:lang w:eastAsia="es-AR"/>
        </w:rPr>
        <w:t>1.2 Los agravios referidos al derecho de defensa</w:t>
      </w:r>
      <w:r w:rsidR="00A52969" w:rsidRPr="00084F22">
        <w:rPr>
          <w:rFonts w:asciiTheme="majorHAnsi" w:hAnsiTheme="majorHAnsi" w:cs="Arial"/>
          <w:color w:val="222222"/>
          <w:lang w:eastAsia="es-AR"/>
        </w:rPr>
        <w:t xml:space="preserve"> (sentencia arbitraria)</w:t>
      </w:r>
    </w:p>
    <w:p w:rsidR="006B3E5D" w:rsidRPr="00084F22" w:rsidRDefault="006B3E5D" w:rsidP="00084F22">
      <w:pPr>
        <w:pStyle w:val="Prrafodelista"/>
        <w:numPr>
          <w:ilvl w:val="0"/>
          <w:numId w:val="3"/>
        </w:numPr>
        <w:shd w:val="clear" w:color="auto" w:fill="FFFFFF"/>
        <w:spacing w:after="120"/>
        <w:ind w:left="357" w:hanging="357"/>
        <w:contextualSpacing w:val="0"/>
        <w:jc w:val="both"/>
        <w:rPr>
          <w:rFonts w:asciiTheme="majorHAnsi" w:hAnsiTheme="majorHAnsi" w:cs="Arial"/>
          <w:color w:val="222222"/>
          <w:lang w:eastAsia="es-AR"/>
        </w:rPr>
      </w:pPr>
      <w:r w:rsidRPr="00084F22">
        <w:rPr>
          <w:rFonts w:asciiTheme="majorHAnsi" w:hAnsiTheme="majorHAnsi" w:cs="Arial"/>
          <w:color w:val="222222"/>
          <w:lang w:eastAsia="es-AR"/>
        </w:rPr>
        <w:t>ALCANCES DE ESTE RECURSO EXTRAORDINARIO FEDERAL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b/>
          <w:color w:val="222222"/>
          <w:lang w:eastAsia="es-AR"/>
        </w:rPr>
      </w:pPr>
      <w:r w:rsidRPr="00084F22">
        <w:rPr>
          <w:rFonts w:ascii="Cambria" w:hAnsi="Cambria" w:cs="Arial"/>
          <w:b/>
          <w:color w:val="222222"/>
          <w:lang w:eastAsia="es-AR"/>
        </w:rPr>
        <w:t>I</w:t>
      </w:r>
      <w:r w:rsidR="002969B1" w:rsidRPr="00084F22">
        <w:rPr>
          <w:rFonts w:ascii="Cambria" w:hAnsi="Cambria" w:cs="Arial"/>
          <w:b/>
          <w:color w:val="222222"/>
          <w:lang w:eastAsia="es-AR"/>
        </w:rPr>
        <w:t>I</w:t>
      </w:r>
      <w:r w:rsidRPr="00084F22">
        <w:rPr>
          <w:rFonts w:ascii="Cambria" w:hAnsi="Cambria" w:cs="Arial"/>
          <w:b/>
          <w:color w:val="222222"/>
          <w:lang w:eastAsia="es-AR"/>
        </w:rPr>
        <w:t>I. REQUISITOS FORMALES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b/>
          <w:color w:val="222222"/>
          <w:lang w:eastAsia="es-AR"/>
        </w:rPr>
      </w:pPr>
      <w:r w:rsidRPr="00084F22">
        <w:rPr>
          <w:rFonts w:ascii="Cambria" w:hAnsi="Cambria" w:cs="Arial"/>
          <w:color w:val="222222"/>
          <w:u w:val="single"/>
          <w:lang w:eastAsia="es-AR"/>
        </w:rPr>
        <w:t>1.- SENTENCIA DE ÚLTIMA INSTANCIA Y DEFINITIVA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color w:val="222222"/>
          <w:u w:val="single"/>
          <w:lang w:eastAsia="es-AR"/>
        </w:rPr>
      </w:pPr>
      <w:r w:rsidRPr="00084F22">
        <w:rPr>
          <w:rFonts w:ascii="Cambria" w:hAnsi="Cambria" w:cs="Arial"/>
          <w:color w:val="222222"/>
          <w:u w:val="single"/>
          <w:lang w:eastAsia="es-AR"/>
        </w:rPr>
        <w:t>2.- CUESTIONES FEDERALES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color w:val="222222"/>
          <w:lang w:eastAsia="es-AR"/>
        </w:rPr>
      </w:pPr>
      <w:r w:rsidRPr="00084F22">
        <w:rPr>
          <w:rFonts w:ascii="Cambria" w:hAnsi="Cambria" w:cs="Arial"/>
          <w:color w:val="222222"/>
          <w:lang w:eastAsia="es-AR"/>
        </w:rPr>
        <w:t xml:space="preserve">2.1 Régimen representativo y republicano de gobierno 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i/>
          <w:color w:val="222222"/>
          <w:lang w:eastAsia="es-AR"/>
        </w:rPr>
      </w:pPr>
      <w:r w:rsidRPr="00643347">
        <w:rPr>
          <w:rFonts w:asciiTheme="majorHAnsi" w:hAnsiTheme="majorHAnsi" w:cs="Arial"/>
          <w:i/>
          <w:color w:val="222222"/>
          <w:lang w:eastAsia="es-AR"/>
        </w:rPr>
        <w:t>2.1.1 Derechos fundamentales violados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i/>
          <w:color w:val="222222"/>
          <w:lang w:eastAsia="es-AR"/>
        </w:rPr>
      </w:pPr>
      <w:r w:rsidRPr="00643347">
        <w:rPr>
          <w:rFonts w:asciiTheme="majorHAnsi" w:hAnsiTheme="majorHAnsi" w:cs="Arial"/>
          <w:i/>
          <w:color w:val="222222"/>
          <w:lang w:eastAsia="es-AR"/>
        </w:rPr>
        <w:t>2.1.2 Voto universal, igual y secreto</w:t>
      </w:r>
    </w:p>
    <w:p w:rsidR="009F26E8" w:rsidRPr="00643347" w:rsidRDefault="009F26E8" w:rsidP="00643347">
      <w:pPr>
        <w:pStyle w:val="Textonotapie"/>
        <w:spacing w:after="120" w:line="276" w:lineRule="auto"/>
        <w:jc w:val="both"/>
        <w:rPr>
          <w:rFonts w:asciiTheme="majorHAnsi" w:hAnsiTheme="majorHAnsi" w:cs="Arial"/>
          <w:i/>
          <w:color w:val="222222"/>
          <w:sz w:val="22"/>
          <w:szCs w:val="22"/>
          <w:lang w:eastAsia="es-AR"/>
        </w:rPr>
      </w:pPr>
      <w:r w:rsidRPr="00643347">
        <w:rPr>
          <w:rFonts w:asciiTheme="majorHAnsi" w:hAnsiTheme="majorHAnsi" w:cs="Arial"/>
          <w:i/>
          <w:color w:val="222222"/>
          <w:sz w:val="22"/>
          <w:szCs w:val="22"/>
          <w:lang w:eastAsia="es-AR"/>
        </w:rPr>
        <w:t xml:space="preserve">2.1.3 Elecciones genuinas y auténticas 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i/>
          <w:color w:val="222222"/>
          <w:lang w:eastAsia="es-AR"/>
        </w:rPr>
      </w:pPr>
      <w:r w:rsidRPr="00643347">
        <w:rPr>
          <w:rFonts w:asciiTheme="majorHAnsi" w:hAnsiTheme="majorHAnsi" w:cs="Arial"/>
          <w:i/>
          <w:color w:val="222222"/>
          <w:lang w:eastAsia="es-AR"/>
        </w:rPr>
        <w:t>2.1.4 Rol institucional de los partidos políticos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color w:val="222222"/>
          <w:lang w:eastAsia="es-AR"/>
        </w:rPr>
      </w:pPr>
      <w:r w:rsidRPr="00643347">
        <w:rPr>
          <w:rFonts w:asciiTheme="majorHAnsi" w:hAnsiTheme="majorHAnsi" w:cs="Arial"/>
          <w:color w:val="222222"/>
          <w:lang w:eastAsia="es-AR"/>
        </w:rPr>
        <w:t>2.2 Tutela judicial efectiva (remisión)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i/>
          <w:color w:val="222222"/>
          <w:lang w:eastAsia="es-AR"/>
        </w:rPr>
      </w:pPr>
      <w:r w:rsidRPr="00643347">
        <w:rPr>
          <w:rFonts w:asciiTheme="majorHAnsi" w:hAnsiTheme="majorHAnsi" w:cs="Arial"/>
          <w:i/>
          <w:color w:val="222222"/>
          <w:lang w:eastAsia="es-AR"/>
        </w:rPr>
        <w:t>2.2.1 La Sentencia ignora argumentos de parte y derechos fundamentales</w:t>
      </w:r>
    </w:p>
    <w:p w:rsidR="009F26E8" w:rsidRPr="00643347" w:rsidRDefault="009F26E8" w:rsidP="00643347">
      <w:pPr>
        <w:shd w:val="clear" w:color="auto" w:fill="FFFFFF"/>
        <w:spacing w:after="120"/>
        <w:jc w:val="both"/>
        <w:rPr>
          <w:rFonts w:asciiTheme="majorHAnsi" w:hAnsiTheme="majorHAnsi" w:cs="Arial"/>
          <w:i/>
          <w:color w:val="222222"/>
          <w:lang w:eastAsia="es-AR"/>
        </w:rPr>
      </w:pPr>
      <w:r w:rsidRPr="00643347">
        <w:rPr>
          <w:rFonts w:asciiTheme="majorHAnsi" w:hAnsiTheme="majorHAnsi" w:cs="Arial"/>
          <w:i/>
          <w:color w:val="222222"/>
          <w:lang w:eastAsia="es-AR"/>
        </w:rPr>
        <w:t>2.2.2 La sentencia ignora al Fiscal de Corte y su rango institucional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color w:val="222222"/>
          <w:u w:val="single"/>
          <w:lang w:eastAsia="es-AR"/>
        </w:rPr>
      </w:pPr>
      <w:r w:rsidRPr="00084F22">
        <w:rPr>
          <w:rFonts w:ascii="Cambria" w:hAnsi="Cambria" w:cs="Arial"/>
          <w:color w:val="222222"/>
          <w:u w:val="single"/>
          <w:lang w:eastAsia="es-AR"/>
        </w:rPr>
        <w:t>3. CIRCUNSTANCIAS RELEVANTES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Theme="majorHAnsi" w:hAnsiTheme="majorHAnsi" w:cs="Arial"/>
        </w:rPr>
      </w:pPr>
      <w:r w:rsidRPr="00084F22">
        <w:rPr>
          <w:rFonts w:asciiTheme="majorHAnsi" w:hAnsiTheme="majorHAnsi" w:cs="Arial"/>
        </w:rPr>
        <w:t xml:space="preserve">3.1 </w:t>
      </w:r>
      <w:r w:rsidR="006B3E5D" w:rsidRPr="00084F22">
        <w:rPr>
          <w:rFonts w:asciiTheme="majorHAnsi" w:hAnsiTheme="majorHAnsi" w:cs="Arial"/>
        </w:rPr>
        <w:t xml:space="preserve">El </w:t>
      </w:r>
      <w:r w:rsidRPr="00084F22">
        <w:rPr>
          <w:rFonts w:asciiTheme="majorHAnsi" w:hAnsiTheme="majorHAnsi" w:cs="Arial"/>
        </w:rPr>
        <w:t>sistema mixto de votación</w:t>
      </w:r>
      <w:r w:rsidR="006B3E5D" w:rsidRPr="00084F22">
        <w:rPr>
          <w:rFonts w:asciiTheme="majorHAnsi" w:hAnsiTheme="majorHAnsi" w:cs="Arial"/>
        </w:rPr>
        <w:t xml:space="preserve"> vigente en Salta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Theme="majorHAnsi" w:hAnsiTheme="majorHAnsi" w:cs="Arial"/>
          <w:i/>
        </w:rPr>
      </w:pPr>
      <w:r w:rsidRPr="00084F22">
        <w:rPr>
          <w:rFonts w:asciiTheme="majorHAnsi" w:hAnsiTheme="majorHAnsi" w:cs="Arial"/>
          <w:i/>
        </w:rPr>
        <w:t>3.3.1 Componentes del sistema provincial de votación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Theme="majorHAnsi" w:hAnsiTheme="majorHAnsi" w:cs="Arial"/>
          <w:i/>
        </w:rPr>
      </w:pPr>
      <w:r w:rsidRPr="00084F22">
        <w:rPr>
          <w:rFonts w:asciiTheme="majorHAnsi" w:hAnsiTheme="majorHAnsi" w:cs="Arial"/>
          <w:i/>
        </w:rPr>
        <w:t xml:space="preserve">3.3.2 Controles manuales e informáticos 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Theme="majorHAnsi" w:hAnsiTheme="majorHAnsi" w:cs="Arial"/>
          <w:i/>
        </w:rPr>
      </w:pPr>
      <w:r w:rsidRPr="00084F22">
        <w:rPr>
          <w:rFonts w:asciiTheme="majorHAnsi" w:hAnsiTheme="majorHAnsi" w:cs="Arial"/>
          <w:i/>
        </w:rPr>
        <w:t>3.3.3 Sentencia de la CJS contraria a la</w:t>
      </w:r>
      <w:r w:rsidR="00D81051" w:rsidRPr="00084F22">
        <w:rPr>
          <w:rFonts w:asciiTheme="majorHAnsi" w:hAnsiTheme="majorHAnsi" w:cs="Arial"/>
          <w:i/>
        </w:rPr>
        <w:t xml:space="preserve"> </w:t>
      </w:r>
      <w:r w:rsidRPr="00084F22">
        <w:rPr>
          <w:rFonts w:asciiTheme="majorHAnsi" w:hAnsiTheme="majorHAnsi" w:cs="Arial"/>
          <w:i/>
        </w:rPr>
        <w:t xml:space="preserve">CN </w:t>
      </w:r>
      <w:r w:rsidR="00643347">
        <w:rPr>
          <w:rFonts w:asciiTheme="majorHAnsi" w:hAnsiTheme="majorHAnsi" w:cs="Arial"/>
          <w:i/>
        </w:rPr>
        <w:t>y</w:t>
      </w:r>
      <w:r w:rsidRPr="00084F22">
        <w:rPr>
          <w:rFonts w:asciiTheme="majorHAnsi" w:hAnsiTheme="majorHAnsi" w:cs="Arial"/>
          <w:i/>
        </w:rPr>
        <w:t xml:space="preserve"> a las leyes</w:t>
      </w:r>
      <w:r w:rsidR="00643347">
        <w:rPr>
          <w:rFonts w:asciiTheme="majorHAnsi" w:hAnsiTheme="majorHAnsi" w:cs="Arial"/>
          <w:i/>
        </w:rPr>
        <w:t xml:space="preserve"> provinciales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Theme="majorHAnsi" w:hAnsiTheme="majorHAnsi" w:cs="Arial"/>
        </w:rPr>
      </w:pPr>
      <w:r w:rsidRPr="00084F22">
        <w:rPr>
          <w:rFonts w:asciiTheme="majorHAnsi" w:hAnsiTheme="majorHAnsi" w:cs="Arial"/>
        </w:rPr>
        <w:t>3.2 El acceso al código fuente</w:t>
      </w:r>
    </w:p>
    <w:p w:rsidR="00FD10E1" w:rsidRPr="00084F22" w:rsidRDefault="00FD10E1" w:rsidP="00084F22">
      <w:pPr>
        <w:shd w:val="clear" w:color="auto" w:fill="FFFFFF"/>
        <w:spacing w:after="120"/>
        <w:jc w:val="both"/>
        <w:rPr>
          <w:rFonts w:asciiTheme="majorHAnsi" w:hAnsiTheme="majorHAnsi" w:cs="Arial"/>
        </w:rPr>
      </w:pPr>
      <w:r w:rsidRPr="00084F22">
        <w:rPr>
          <w:rFonts w:asciiTheme="majorHAnsi" w:hAnsiTheme="majorHAnsi" w:cs="Arial"/>
        </w:rPr>
        <w:t>3.3 La opaca logística de las herramientas informáticas</w:t>
      </w:r>
    </w:p>
    <w:p w:rsidR="00FD10E1" w:rsidRPr="00084F22" w:rsidRDefault="00FD10E1" w:rsidP="00084F22">
      <w:pPr>
        <w:shd w:val="clear" w:color="auto" w:fill="FFFFFF"/>
        <w:spacing w:after="120"/>
        <w:jc w:val="both"/>
        <w:rPr>
          <w:rFonts w:asciiTheme="majorHAnsi" w:hAnsiTheme="majorHAnsi" w:cs="Arial"/>
        </w:rPr>
      </w:pPr>
      <w:r w:rsidRPr="00084F22">
        <w:rPr>
          <w:rFonts w:asciiTheme="majorHAnsi" w:hAnsiTheme="majorHAnsi" w:cs="Arial"/>
        </w:rPr>
        <w:t>3.4 Afectación al papel de los fiscales de mesa</w:t>
      </w:r>
    </w:p>
    <w:p w:rsidR="00FD10E1" w:rsidRDefault="00FD10E1" w:rsidP="00084F22">
      <w:pPr>
        <w:shd w:val="clear" w:color="auto" w:fill="FFFFFF"/>
        <w:spacing w:after="120"/>
        <w:jc w:val="both"/>
        <w:rPr>
          <w:rFonts w:asciiTheme="majorHAnsi" w:hAnsiTheme="majorHAnsi" w:cs="Arial"/>
        </w:rPr>
      </w:pPr>
      <w:r w:rsidRPr="00084F22">
        <w:rPr>
          <w:rFonts w:asciiTheme="majorHAnsi" w:hAnsiTheme="majorHAnsi" w:cs="Arial"/>
        </w:rPr>
        <w:t>3.5 Eliminación del recuento m</w:t>
      </w:r>
      <w:bookmarkStart w:id="0" w:name="_GoBack"/>
      <w:bookmarkEnd w:id="0"/>
      <w:r w:rsidRPr="00084F22">
        <w:rPr>
          <w:rFonts w:asciiTheme="majorHAnsi" w:hAnsiTheme="majorHAnsi" w:cs="Arial"/>
        </w:rPr>
        <w:t>anual y de su certificación</w:t>
      </w:r>
    </w:p>
    <w:p w:rsidR="00643347" w:rsidRPr="00643347" w:rsidRDefault="00643347" w:rsidP="00643347">
      <w:pPr>
        <w:shd w:val="clear" w:color="auto" w:fill="FFFFFF"/>
        <w:spacing w:after="120" w:line="360" w:lineRule="auto"/>
        <w:jc w:val="both"/>
        <w:rPr>
          <w:rFonts w:asciiTheme="majorHAnsi" w:hAnsiTheme="majorHAnsi" w:cs="Arial"/>
        </w:rPr>
      </w:pPr>
      <w:r w:rsidRPr="00643347">
        <w:rPr>
          <w:rFonts w:asciiTheme="majorHAnsi" w:hAnsiTheme="majorHAnsi" w:cs="Arial"/>
        </w:rPr>
        <w:t>3.6 El escrutinio provisorio informatizado sin garantías</w:t>
      </w:r>
    </w:p>
    <w:p w:rsidR="00626018" w:rsidRPr="00084F22" w:rsidRDefault="00626018" w:rsidP="00084F22">
      <w:pPr>
        <w:shd w:val="clear" w:color="auto" w:fill="FFFFFF"/>
        <w:spacing w:after="120"/>
        <w:jc w:val="both"/>
        <w:rPr>
          <w:rFonts w:ascii="Cambria" w:hAnsi="Cambria" w:cs="Arial"/>
          <w:color w:val="222222"/>
          <w:u w:val="single"/>
          <w:lang w:eastAsia="es-AR"/>
        </w:rPr>
      </w:pPr>
      <w:r w:rsidRPr="00084F22">
        <w:rPr>
          <w:rFonts w:ascii="Cambria" w:hAnsi="Cambria" w:cs="Arial"/>
          <w:color w:val="222222"/>
          <w:u w:val="single"/>
          <w:lang w:eastAsia="es-AR"/>
        </w:rPr>
        <w:lastRenderedPageBreak/>
        <w:t>4.- MOMENTO DE LA PRIMERA PRESENTACIÓN DE LAS CUESTIONES</w:t>
      </w:r>
    </w:p>
    <w:p w:rsidR="00626018" w:rsidRPr="00084F22" w:rsidRDefault="00626018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84F22">
        <w:rPr>
          <w:rFonts w:asciiTheme="majorHAnsi" w:hAnsiTheme="majorHAnsi" w:cs="Arial"/>
          <w:sz w:val="22"/>
          <w:szCs w:val="22"/>
          <w:u w:val="single"/>
        </w:rPr>
        <w:t xml:space="preserve">5.- GRAVAMEN PERSONAL, CONCRETO Y ACTUAL </w:t>
      </w:r>
    </w:p>
    <w:p w:rsidR="00626018" w:rsidRPr="00084F22" w:rsidRDefault="00626018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b/>
          <w:sz w:val="22"/>
          <w:szCs w:val="22"/>
        </w:rPr>
      </w:pPr>
      <w:r w:rsidRPr="00084F22">
        <w:rPr>
          <w:rFonts w:asciiTheme="majorHAnsi" w:hAnsiTheme="majorHAnsi" w:cs="Arial"/>
          <w:b/>
          <w:sz w:val="22"/>
          <w:szCs w:val="22"/>
        </w:rPr>
        <w:t>I</w:t>
      </w:r>
      <w:r w:rsidR="002969B1" w:rsidRPr="00084F22">
        <w:rPr>
          <w:rFonts w:asciiTheme="majorHAnsi" w:hAnsiTheme="majorHAnsi" w:cs="Arial"/>
          <w:b/>
          <w:sz w:val="22"/>
          <w:szCs w:val="22"/>
        </w:rPr>
        <w:t>V</w:t>
      </w:r>
      <w:r w:rsidRPr="00084F22">
        <w:rPr>
          <w:rFonts w:asciiTheme="majorHAnsi" w:hAnsiTheme="majorHAnsi" w:cs="Arial"/>
          <w:b/>
          <w:sz w:val="22"/>
          <w:szCs w:val="22"/>
        </w:rPr>
        <w:t>. REFUTACIÓN DE LOS FUNDAMENTOS DE LA DECISIÓN APELADA</w:t>
      </w:r>
    </w:p>
    <w:p w:rsidR="00626018" w:rsidRPr="00084F22" w:rsidRDefault="00AE4A33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84F22">
        <w:rPr>
          <w:rFonts w:asciiTheme="majorHAnsi" w:hAnsiTheme="majorHAnsi" w:cs="Arial"/>
          <w:sz w:val="22"/>
          <w:szCs w:val="22"/>
          <w:u w:val="single"/>
        </w:rPr>
        <w:t>1.- FUNDAMENTOS REFERIDOS A LAS PRIMARIAS ABIERTAS</w:t>
      </w:r>
    </w:p>
    <w:p w:rsidR="00FE032D" w:rsidRPr="00084F22" w:rsidRDefault="00FE032D" w:rsidP="00084F22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084F22">
        <w:rPr>
          <w:rFonts w:asciiTheme="majorHAnsi" w:hAnsiTheme="majorHAnsi" w:cs="Arial"/>
          <w:sz w:val="22"/>
          <w:szCs w:val="22"/>
        </w:rPr>
        <w:t xml:space="preserve">1.1 Los dichos de la </w:t>
      </w:r>
      <w:r w:rsidR="00E41D35" w:rsidRPr="00084F22">
        <w:rPr>
          <w:rFonts w:asciiTheme="majorHAnsi" w:hAnsiTheme="majorHAnsi" w:cs="Arial"/>
          <w:sz w:val="22"/>
          <w:szCs w:val="22"/>
        </w:rPr>
        <w:t>C</w:t>
      </w:r>
      <w:r w:rsidRPr="00084F22">
        <w:rPr>
          <w:rFonts w:asciiTheme="majorHAnsi" w:hAnsiTheme="majorHAnsi" w:cs="Arial"/>
          <w:sz w:val="22"/>
          <w:szCs w:val="22"/>
        </w:rPr>
        <w:t>orte salteña</w:t>
      </w:r>
    </w:p>
    <w:p w:rsidR="00FE032D" w:rsidRPr="00084F22" w:rsidRDefault="00FE032D" w:rsidP="00084F22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084F22">
        <w:rPr>
          <w:rFonts w:asciiTheme="majorHAnsi" w:hAnsiTheme="majorHAnsi" w:cs="Arial"/>
          <w:sz w:val="22"/>
          <w:szCs w:val="22"/>
        </w:rPr>
        <w:t xml:space="preserve">1.2 Nuestros </w:t>
      </w:r>
      <w:r w:rsidR="002169BC">
        <w:rPr>
          <w:rFonts w:asciiTheme="majorHAnsi" w:hAnsiTheme="majorHAnsi" w:cs="Arial"/>
          <w:sz w:val="22"/>
          <w:szCs w:val="22"/>
        </w:rPr>
        <w:t>contra</w:t>
      </w:r>
      <w:r w:rsidRPr="00084F22">
        <w:rPr>
          <w:rFonts w:asciiTheme="majorHAnsi" w:hAnsiTheme="majorHAnsi" w:cs="Arial"/>
          <w:sz w:val="22"/>
          <w:szCs w:val="22"/>
        </w:rPr>
        <w:t>argumentos</w:t>
      </w:r>
    </w:p>
    <w:p w:rsidR="00626018" w:rsidRPr="00084F22" w:rsidRDefault="00AE4A33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084F22">
        <w:rPr>
          <w:rFonts w:asciiTheme="majorHAnsi" w:hAnsiTheme="majorHAnsi" w:cs="Arial"/>
          <w:sz w:val="22"/>
          <w:szCs w:val="22"/>
          <w:u w:val="single"/>
        </w:rPr>
        <w:t>2.- FUNDAMENTOS REFERIDOS A LA AUDITORIA DEL CÓDIGO FUENTE</w:t>
      </w:r>
    </w:p>
    <w:p w:rsidR="00FE032D" w:rsidRPr="00084F22" w:rsidRDefault="00FE032D" w:rsidP="00084F22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084F22">
        <w:rPr>
          <w:rFonts w:asciiTheme="majorHAnsi" w:hAnsiTheme="majorHAnsi" w:cs="Arial"/>
          <w:sz w:val="22"/>
          <w:szCs w:val="22"/>
        </w:rPr>
        <w:t xml:space="preserve">2.1 Los dichos de la </w:t>
      </w:r>
      <w:r w:rsidR="00E41D35" w:rsidRPr="00084F22">
        <w:rPr>
          <w:rFonts w:asciiTheme="majorHAnsi" w:hAnsiTheme="majorHAnsi" w:cs="Arial"/>
          <w:sz w:val="22"/>
          <w:szCs w:val="22"/>
        </w:rPr>
        <w:t>C</w:t>
      </w:r>
      <w:r w:rsidRPr="00084F22">
        <w:rPr>
          <w:rFonts w:asciiTheme="majorHAnsi" w:hAnsiTheme="majorHAnsi" w:cs="Arial"/>
          <w:sz w:val="22"/>
          <w:szCs w:val="22"/>
        </w:rPr>
        <w:t>orte salteña</w:t>
      </w:r>
    </w:p>
    <w:p w:rsidR="00FE032D" w:rsidRPr="00084F22" w:rsidRDefault="00FE032D" w:rsidP="00084F22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084F22">
        <w:rPr>
          <w:rFonts w:asciiTheme="majorHAnsi" w:hAnsiTheme="majorHAnsi" w:cs="Arial"/>
          <w:sz w:val="22"/>
          <w:szCs w:val="22"/>
        </w:rPr>
        <w:t xml:space="preserve">2.2 Nuestros </w:t>
      </w:r>
      <w:r w:rsidR="002169BC">
        <w:rPr>
          <w:rFonts w:asciiTheme="majorHAnsi" w:hAnsiTheme="majorHAnsi" w:cs="Arial"/>
          <w:sz w:val="22"/>
          <w:szCs w:val="22"/>
        </w:rPr>
        <w:t>contra</w:t>
      </w:r>
      <w:r w:rsidRPr="00084F22">
        <w:rPr>
          <w:rFonts w:asciiTheme="majorHAnsi" w:hAnsiTheme="majorHAnsi" w:cs="Arial"/>
          <w:sz w:val="22"/>
          <w:szCs w:val="22"/>
        </w:rPr>
        <w:t>argumentos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9700F8">
        <w:rPr>
          <w:rFonts w:asciiTheme="majorHAnsi" w:hAnsiTheme="majorHAnsi" w:cs="Arial"/>
          <w:sz w:val="22"/>
          <w:szCs w:val="22"/>
          <w:u w:val="single"/>
        </w:rPr>
        <w:t>3.- FUNDAMENTOS DEL RECHAZO “IN LIMINE”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3.1 Sobre la irrecurribilidad de los actos del Tribunal Electoral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 xml:space="preserve">3.1.1 Los dichos de la Corte Provincial 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 xml:space="preserve">3.1.2 Nuestros </w:t>
      </w:r>
      <w:r w:rsidR="002169BC">
        <w:rPr>
          <w:rFonts w:asciiTheme="majorHAnsi" w:hAnsiTheme="majorHAnsi" w:cs="Arial"/>
          <w:i/>
          <w:sz w:val="22"/>
          <w:szCs w:val="22"/>
        </w:rPr>
        <w:t>contra</w:t>
      </w:r>
      <w:r w:rsidRPr="009700F8">
        <w:rPr>
          <w:rFonts w:asciiTheme="majorHAnsi" w:hAnsiTheme="majorHAnsi" w:cs="Arial"/>
          <w:i/>
          <w:sz w:val="22"/>
          <w:szCs w:val="22"/>
        </w:rPr>
        <w:t>argumentos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3.2 Fundamentos referidos a la no judiciabilidad del Tribunal Electoral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>3.2.1 Los dichos de la Corte Provincial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 xml:space="preserve">3.2.2 Nuestros </w:t>
      </w:r>
      <w:r w:rsidR="002169BC">
        <w:rPr>
          <w:rFonts w:asciiTheme="majorHAnsi" w:hAnsiTheme="majorHAnsi" w:cs="Arial"/>
          <w:i/>
          <w:sz w:val="22"/>
          <w:szCs w:val="22"/>
        </w:rPr>
        <w:t>contra</w:t>
      </w:r>
      <w:r w:rsidRPr="009700F8">
        <w:rPr>
          <w:rFonts w:asciiTheme="majorHAnsi" w:hAnsiTheme="majorHAnsi" w:cs="Arial"/>
          <w:i/>
          <w:sz w:val="22"/>
          <w:szCs w:val="22"/>
        </w:rPr>
        <w:t xml:space="preserve">argumentos 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3.3 Fundamentos referidos al no agotamiento de la vía administrativa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>3.3.1 Los dichos de la Corte Provincial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 xml:space="preserve">3.3.2 Nuestros </w:t>
      </w:r>
      <w:r w:rsidR="002169BC">
        <w:rPr>
          <w:rFonts w:asciiTheme="majorHAnsi" w:hAnsiTheme="majorHAnsi" w:cs="Arial"/>
          <w:i/>
          <w:sz w:val="22"/>
          <w:szCs w:val="22"/>
        </w:rPr>
        <w:t>contra</w:t>
      </w:r>
      <w:r w:rsidRPr="009700F8">
        <w:rPr>
          <w:rFonts w:asciiTheme="majorHAnsi" w:hAnsiTheme="majorHAnsi" w:cs="Arial"/>
          <w:i/>
          <w:sz w:val="22"/>
          <w:szCs w:val="22"/>
        </w:rPr>
        <w:t>argumentos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3.4 Fundamentos referidos a la preclusión y consentimiento de los agravios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>3.4.1 Los dichos de la Corte Provincial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9700F8">
        <w:rPr>
          <w:rFonts w:asciiTheme="majorHAnsi" w:hAnsiTheme="majorHAnsi" w:cs="Arial"/>
          <w:i/>
          <w:sz w:val="22"/>
          <w:szCs w:val="22"/>
        </w:rPr>
        <w:t xml:space="preserve">3.4.2 Nuestros </w:t>
      </w:r>
      <w:r w:rsidR="002169BC">
        <w:rPr>
          <w:rFonts w:asciiTheme="majorHAnsi" w:hAnsiTheme="majorHAnsi" w:cs="Arial"/>
          <w:i/>
          <w:sz w:val="22"/>
          <w:szCs w:val="22"/>
        </w:rPr>
        <w:t>contra</w:t>
      </w:r>
      <w:r w:rsidRPr="009700F8">
        <w:rPr>
          <w:rFonts w:asciiTheme="majorHAnsi" w:hAnsiTheme="majorHAnsi" w:cs="Arial"/>
          <w:i/>
          <w:sz w:val="22"/>
          <w:szCs w:val="22"/>
        </w:rPr>
        <w:t>argumentos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3.5 Fundamentos referidos a la vía procesal elegida</w:t>
      </w:r>
    </w:p>
    <w:p w:rsidR="002169BC" w:rsidRPr="002169BC" w:rsidRDefault="002169BC" w:rsidP="002169BC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2169BC">
        <w:rPr>
          <w:rFonts w:asciiTheme="majorHAnsi" w:hAnsiTheme="majorHAnsi" w:cs="Arial"/>
          <w:i/>
          <w:sz w:val="22"/>
          <w:szCs w:val="22"/>
        </w:rPr>
        <w:t xml:space="preserve">3.5.1 </w:t>
      </w:r>
      <w:r w:rsidRPr="002169BC">
        <w:rPr>
          <w:rFonts w:asciiTheme="majorHAnsi" w:hAnsiTheme="majorHAnsi" w:cs="Arial"/>
          <w:i/>
          <w:sz w:val="22"/>
          <w:szCs w:val="22"/>
        </w:rPr>
        <w:t>Los dichos de la Corte Provincial</w:t>
      </w:r>
    </w:p>
    <w:p w:rsidR="002169BC" w:rsidRPr="002169BC" w:rsidRDefault="002169BC" w:rsidP="002169BC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2169BC">
        <w:rPr>
          <w:rFonts w:asciiTheme="majorHAnsi" w:hAnsiTheme="majorHAnsi" w:cs="Arial"/>
          <w:i/>
          <w:sz w:val="22"/>
          <w:szCs w:val="22"/>
        </w:rPr>
        <w:t xml:space="preserve">3.5.2 </w:t>
      </w:r>
      <w:r w:rsidRPr="002169BC">
        <w:rPr>
          <w:rFonts w:asciiTheme="majorHAnsi" w:hAnsiTheme="majorHAnsi" w:cs="Arial"/>
          <w:i/>
          <w:sz w:val="22"/>
          <w:szCs w:val="22"/>
        </w:rPr>
        <w:t>Los dichos de la Corte Provincial</w:t>
      </w:r>
    </w:p>
    <w:p w:rsidR="009700F8" w:rsidRPr="009700F8" w:rsidRDefault="009700F8" w:rsidP="009700F8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sz w:val="22"/>
          <w:szCs w:val="22"/>
        </w:rPr>
      </w:pPr>
      <w:r w:rsidRPr="009700F8">
        <w:rPr>
          <w:rFonts w:asciiTheme="majorHAnsi" w:hAnsiTheme="majorHAnsi" w:cs="Arial"/>
          <w:sz w:val="22"/>
          <w:szCs w:val="22"/>
        </w:rPr>
        <w:t>3.6 Fundamentos referidos a la inexistencia de caso justiciable</w:t>
      </w:r>
    </w:p>
    <w:p w:rsidR="002169BC" w:rsidRPr="002169BC" w:rsidRDefault="002169BC" w:rsidP="002169BC">
      <w:pPr>
        <w:pStyle w:val="NormalWeb"/>
        <w:spacing w:before="0" w:after="120" w:line="276" w:lineRule="auto"/>
        <w:ind w:left="0" w:right="0"/>
        <w:jc w:val="both"/>
        <w:rPr>
          <w:rFonts w:asciiTheme="majorHAnsi" w:hAnsiTheme="majorHAnsi" w:cs="Arial"/>
          <w:i/>
          <w:sz w:val="22"/>
          <w:szCs w:val="22"/>
        </w:rPr>
      </w:pPr>
      <w:r w:rsidRPr="002169BC">
        <w:rPr>
          <w:rFonts w:asciiTheme="majorHAnsi" w:hAnsiTheme="majorHAnsi" w:cs="Arial"/>
          <w:i/>
          <w:sz w:val="22"/>
          <w:szCs w:val="22"/>
        </w:rPr>
        <w:t xml:space="preserve">3.6.1 </w:t>
      </w:r>
      <w:r w:rsidRPr="002169BC">
        <w:rPr>
          <w:rFonts w:asciiTheme="majorHAnsi" w:hAnsiTheme="majorHAnsi" w:cs="Arial"/>
          <w:i/>
          <w:sz w:val="22"/>
          <w:szCs w:val="22"/>
        </w:rPr>
        <w:t>Los dichos de la Corte Provincial</w:t>
      </w:r>
    </w:p>
    <w:p w:rsidR="002169BC" w:rsidRPr="002169BC" w:rsidRDefault="002169BC" w:rsidP="00E66C24">
      <w:pPr>
        <w:pStyle w:val="NormalWeb"/>
        <w:spacing w:before="0" w:after="120" w:line="360" w:lineRule="auto"/>
        <w:ind w:left="0" w:right="0"/>
        <w:rPr>
          <w:rFonts w:asciiTheme="majorHAnsi" w:hAnsiTheme="majorHAnsi" w:cs="Arial"/>
          <w:i/>
          <w:sz w:val="22"/>
          <w:szCs w:val="22"/>
        </w:rPr>
      </w:pPr>
      <w:r w:rsidRPr="002169BC">
        <w:rPr>
          <w:rFonts w:asciiTheme="majorHAnsi" w:hAnsiTheme="majorHAnsi" w:cs="Arial"/>
          <w:i/>
          <w:sz w:val="22"/>
          <w:szCs w:val="22"/>
        </w:rPr>
        <w:t xml:space="preserve">3.6.2 </w:t>
      </w:r>
      <w:r w:rsidRPr="002169BC">
        <w:rPr>
          <w:rFonts w:asciiTheme="majorHAnsi" w:hAnsiTheme="majorHAnsi" w:cs="Arial"/>
          <w:i/>
          <w:sz w:val="22"/>
          <w:szCs w:val="22"/>
        </w:rPr>
        <w:t>Nuestros contraargumentos</w:t>
      </w:r>
    </w:p>
    <w:p w:rsidR="00E66C24" w:rsidRPr="00E66C24" w:rsidRDefault="00E66C24" w:rsidP="00E66C24">
      <w:pPr>
        <w:pStyle w:val="NormalWeb"/>
        <w:spacing w:before="0" w:after="120" w:line="360" w:lineRule="auto"/>
        <w:ind w:left="0" w:right="0"/>
        <w:rPr>
          <w:rFonts w:asciiTheme="majorHAnsi" w:hAnsiTheme="majorHAnsi" w:cs="Arial"/>
          <w:b/>
          <w:sz w:val="22"/>
          <w:szCs w:val="22"/>
          <w:u w:val="single"/>
        </w:rPr>
      </w:pPr>
      <w:r w:rsidRPr="00E66C24">
        <w:rPr>
          <w:rFonts w:asciiTheme="majorHAnsi" w:hAnsiTheme="majorHAnsi" w:cs="Arial"/>
          <w:b/>
          <w:sz w:val="22"/>
          <w:szCs w:val="22"/>
          <w:u w:val="single"/>
        </w:rPr>
        <w:t>V. SENTENCIA ARBITRARIA</w:t>
      </w:r>
    </w:p>
    <w:p w:rsidR="00E66C24" w:rsidRPr="00E66C24" w:rsidRDefault="00E66C24" w:rsidP="00E66C24">
      <w:pPr>
        <w:pStyle w:val="NormalWeb"/>
        <w:spacing w:before="0" w:after="120" w:line="360" w:lineRule="auto"/>
        <w:ind w:left="0" w:right="0"/>
        <w:rPr>
          <w:rFonts w:asciiTheme="majorHAnsi" w:hAnsiTheme="majorHAnsi" w:cs="Arial"/>
          <w:sz w:val="22"/>
          <w:szCs w:val="22"/>
          <w:u w:val="single"/>
        </w:rPr>
      </w:pPr>
      <w:r w:rsidRPr="00E66C24">
        <w:rPr>
          <w:rFonts w:asciiTheme="majorHAnsi" w:hAnsiTheme="majorHAnsi" w:cs="Arial"/>
          <w:sz w:val="22"/>
          <w:szCs w:val="22"/>
          <w:u w:val="single"/>
        </w:rPr>
        <w:t xml:space="preserve">1.- LA SENTENCIA ES INCONGRUENTE </w:t>
      </w:r>
    </w:p>
    <w:p w:rsidR="00E66C24" w:rsidRPr="00E66C24" w:rsidRDefault="00E66C24" w:rsidP="00E66C24">
      <w:pPr>
        <w:pStyle w:val="NormalWeb"/>
        <w:spacing w:before="0" w:after="120" w:line="360" w:lineRule="auto"/>
        <w:ind w:left="0" w:right="0"/>
        <w:rPr>
          <w:rFonts w:asciiTheme="majorHAnsi" w:hAnsiTheme="majorHAnsi" w:cs="Arial"/>
          <w:sz w:val="22"/>
          <w:szCs w:val="22"/>
          <w:u w:val="single"/>
        </w:rPr>
      </w:pPr>
      <w:r w:rsidRPr="00E66C24">
        <w:rPr>
          <w:rFonts w:asciiTheme="majorHAnsi" w:hAnsiTheme="majorHAnsi" w:cs="Arial"/>
          <w:sz w:val="22"/>
          <w:szCs w:val="22"/>
          <w:u w:val="single"/>
        </w:rPr>
        <w:t>2.- LA SENTENCIA NO ES DERIVACIÓN RAZONADA DEL DERECHO VIGENTE</w:t>
      </w:r>
    </w:p>
    <w:p w:rsidR="00626018" w:rsidRPr="00084F22" w:rsidRDefault="00626018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b/>
          <w:sz w:val="22"/>
          <w:szCs w:val="22"/>
        </w:rPr>
      </w:pPr>
      <w:r w:rsidRPr="00084F22">
        <w:rPr>
          <w:rFonts w:asciiTheme="majorHAnsi" w:hAnsiTheme="majorHAnsi" w:cs="Arial"/>
          <w:b/>
          <w:sz w:val="22"/>
          <w:szCs w:val="22"/>
        </w:rPr>
        <w:lastRenderedPageBreak/>
        <w:t>V</w:t>
      </w:r>
      <w:r w:rsidR="00E66C24">
        <w:rPr>
          <w:rFonts w:asciiTheme="majorHAnsi" w:hAnsiTheme="majorHAnsi" w:cs="Arial"/>
          <w:b/>
          <w:sz w:val="22"/>
          <w:szCs w:val="22"/>
        </w:rPr>
        <w:t>I</w:t>
      </w:r>
      <w:r w:rsidRPr="00084F22">
        <w:rPr>
          <w:rFonts w:asciiTheme="majorHAnsi" w:hAnsiTheme="majorHAnsi" w:cs="Arial"/>
          <w:b/>
          <w:sz w:val="22"/>
          <w:szCs w:val="22"/>
        </w:rPr>
        <w:t>. RELACIÓN INMEDIATA Y DIRECTA ENTRE LAS NORMAS FEDERALES Y EL CASO</w:t>
      </w:r>
    </w:p>
    <w:p w:rsidR="00626018" w:rsidRPr="00084F22" w:rsidRDefault="00626018" w:rsidP="00084F22">
      <w:pPr>
        <w:pStyle w:val="NormalWeb"/>
        <w:spacing w:before="0" w:after="120" w:line="276" w:lineRule="auto"/>
        <w:ind w:left="0"/>
        <w:jc w:val="both"/>
        <w:rPr>
          <w:rFonts w:asciiTheme="majorHAnsi" w:hAnsiTheme="majorHAnsi" w:cs="Arial"/>
          <w:b/>
          <w:sz w:val="22"/>
          <w:szCs w:val="22"/>
        </w:rPr>
      </w:pPr>
      <w:r w:rsidRPr="00084F22">
        <w:rPr>
          <w:rFonts w:asciiTheme="majorHAnsi" w:hAnsiTheme="majorHAnsi" w:cs="Arial"/>
          <w:b/>
          <w:sz w:val="22"/>
          <w:szCs w:val="22"/>
        </w:rPr>
        <w:t>V</w:t>
      </w:r>
      <w:r w:rsidR="002969B1" w:rsidRPr="00084F22">
        <w:rPr>
          <w:rFonts w:asciiTheme="majorHAnsi" w:hAnsiTheme="majorHAnsi" w:cs="Arial"/>
          <w:b/>
          <w:sz w:val="22"/>
          <w:szCs w:val="22"/>
        </w:rPr>
        <w:t>I</w:t>
      </w:r>
      <w:r w:rsidR="00E66C24">
        <w:rPr>
          <w:rFonts w:asciiTheme="majorHAnsi" w:hAnsiTheme="majorHAnsi" w:cs="Arial"/>
          <w:b/>
          <w:sz w:val="22"/>
          <w:szCs w:val="22"/>
        </w:rPr>
        <w:t>I</w:t>
      </w:r>
      <w:r w:rsidRPr="00084F22">
        <w:rPr>
          <w:rFonts w:asciiTheme="majorHAnsi" w:hAnsiTheme="majorHAnsi" w:cs="Arial"/>
          <w:b/>
          <w:sz w:val="22"/>
          <w:szCs w:val="22"/>
        </w:rPr>
        <w:t>. NORMAS JURÍDICAS PROVINCIALES</w:t>
      </w:r>
    </w:p>
    <w:p w:rsidR="00437539" w:rsidRPr="00084F22" w:rsidRDefault="00626018" w:rsidP="00084F22">
      <w:pPr>
        <w:pStyle w:val="NormalWeb"/>
        <w:spacing w:before="0" w:after="120" w:line="276" w:lineRule="auto"/>
        <w:ind w:left="0"/>
        <w:jc w:val="both"/>
        <w:rPr>
          <w:sz w:val="22"/>
          <w:szCs w:val="22"/>
        </w:rPr>
      </w:pPr>
      <w:r w:rsidRPr="00084F22">
        <w:rPr>
          <w:rFonts w:asciiTheme="majorHAnsi" w:hAnsiTheme="majorHAnsi" w:cs="Arial"/>
          <w:b/>
          <w:sz w:val="22"/>
          <w:szCs w:val="22"/>
        </w:rPr>
        <w:t>VI</w:t>
      </w:r>
      <w:r w:rsidR="002969B1" w:rsidRPr="00084F22">
        <w:rPr>
          <w:rFonts w:asciiTheme="majorHAnsi" w:hAnsiTheme="majorHAnsi" w:cs="Arial"/>
          <w:b/>
          <w:sz w:val="22"/>
          <w:szCs w:val="22"/>
        </w:rPr>
        <w:t>I</w:t>
      </w:r>
      <w:r w:rsidR="00E66C24">
        <w:rPr>
          <w:rFonts w:asciiTheme="majorHAnsi" w:hAnsiTheme="majorHAnsi" w:cs="Arial"/>
          <w:b/>
          <w:sz w:val="22"/>
          <w:szCs w:val="22"/>
        </w:rPr>
        <w:t>I</w:t>
      </w:r>
      <w:r w:rsidRPr="00084F22">
        <w:rPr>
          <w:rFonts w:asciiTheme="majorHAnsi" w:hAnsiTheme="majorHAnsi" w:cs="Arial"/>
          <w:b/>
          <w:sz w:val="22"/>
          <w:szCs w:val="22"/>
        </w:rPr>
        <w:t>. PETITORIO</w:t>
      </w:r>
    </w:p>
    <w:sectPr w:rsidR="00437539" w:rsidRPr="00084F22" w:rsidSect="00084F22">
      <w:pgSz w:w="11907" w:h="16840" w:code="9"/>
      <w:pgMar w:top="226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ADA"/>
    <w:multiLevelType w:val="multilevel"/>
    <w:tmpl w:val="820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2E70615"/>
    <w:multiLevelType w:val="hybridMultilevel"/>
    <w:tmpl w:val="D93666C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6B339D"/>
    <w:multiLevelType w:val="hybridMultilevel"/>
    <w:tmpl w:val="22300C22"/>
    <w:lvl w:ilvl="0" w:tplc="3D08DF46">
      <w:start w:val="1"/>
      <w:numFmt w:val="upperRoman"/>
      <w:lvlText w:val="%1."/>
      <w:lvlJc w:val="left"/>
      <w:pPr>
        <w:ind w:left="1080" w:hanging="72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8"/>
    <w:rsid w:val="00084F22"/>
    <w:rsid w:val="002169BC"/>
    <w:rsid w:val="00295D76"/>
    <w:rsid w:val="002969B1"/>
    <w:rsid w:val="004129D4"/>
    <w:rsid w:val="00437539"/>
    <w:rsid w:val="004A5EE0"/>
    <w:rsid w:val="004C6DC3"/>
    <w:rsid w:val="00626018"/>
    <w:rsid w:val="00627DD5"/>
    <w:rsid w:val="00643347"/>
    <w:rsid w:val="006B3E5D"/>
    <w:rsid w:val="007C405A"/>
    <w:rsid w:val="008421C6"/>
    <w:rsid w:val="009700F8"/>
    <w:rsid w:val="009F26E8"/>
    <w:rsid w:val="00A52969"/>
    <w:rsid w:val="00AD4A62"/>
    <w:rsid w:val="00AE4A33"/>
    <w:rsid w:val="00D81051"/>
    <w:rsid w:val="00E41D35"/>
    <w:rsid w:val="00E66C24"/>
    <w:rsid w:val="00E81E83"/>
    <w:rsid w:val="00FD10E1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7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7DD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260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260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60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601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26018"/>
    <w:pPr>
      <w:spacing w:before="150" w:after="300" w:line="240" w:lineRule="auto"/>
      <w:ind w:left="600" w:right="600"/>
    </w:pPr>
    <w:rPr>
      <w:rFonts w:ascii="Times New Roman" w:eastAsia="Times New Roman" w:hAnsi="Times New Roman" w:cs="Times New Roman"/>
      <w:color w:val="000000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7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27DD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260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260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60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601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26018"/>
    <w:pPr>
      <w:spacing w:before="150" w:after="300" w:line="240" w:lineRule="auto"/>
      <w:ind w:left="600" w:right="600"/>
    </w:pPr>
    <w:rPr>
      <w:rFonts w:ascii="Times New Roman" w:eastAsia="Times New Roman" w:hAnsi="Times New Roman" w:cs="Times New Roman"/>
      <w:color w:val="000000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11</cp:revision>
  <cp:lastPrinted>2015-05-23T12:50:00Z</cp:lastPrinted>
  <dcterms:created xsi:type="dcterms:W3CDTF">2015-05-15T12:22:00Z</dcterms:created>
  <dcterms:modified xsi:type="dcterms:W3CDTF">2015-05-23T23:28:00Z</dcterms:modified>
</cp:coreProperties>
</file>