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>Y VISTAS: las actuaciones caratuladas “Frente Romero + Olmedo s/ Reconocimiento”, Expte. No 5795/15 y;</w:t>
      </w:r>
      <w:r>
        <w:rPr>
          <w:sz w:val="20"/>
          <w:szCs w:val="20"/>
        </w:rPr>
        <w:t xml:space="preserve"> </w:t>
      </w:r>
      <w:r w:rsidRPr="0097397C">
        <w:rPr>
          <w:sz w:val="20"/>
          <w:szCs w:val="20"/>
        </w:rPr>
        <w:t>CONSIDERANDO: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1°</w:t>
      </w:r>
      <w:r w:rsidRPr="0097397C">
        <w:rPr>
          <w:sz w:val="20"/>
          <w:szCs w:val="20"/>
        </w:rPr>
        <w:t xml:space="preserve">) Que a fs. 184/186 se presentan los Dres. Luis </w:t>
      </w:r>
      <w:r w:rsidRPr="0097397C">
        <w:rPr>
          <w:sz w:val="20"/>
          <w:szCs w:val="20"/>
        </w:rPr>
        <w:t>María</w:t>
      </w:r>
      <w:r w:rsidRPr="0097397C">
        <w:rPr>
          <w:sz w:val="20"/>
          <w:szCs w:val="20"/>
        </w:rPr>
        <w:t xml:space="preserve"> </w:t>
      </w:r>
      <w:r w:rsidRPr="0097397C">
        <w:rPr>
          <w:sz w:val="20"/>
          <w:szCs w:val="20"/>
        </w:rPr>
        <w:t>García</w:t>
      </w:r>
      <w:r w:rsidRPr="0097397C">
        <w:rPr>
          <w:sz w:val="20"/>
          <w:szCs w:val="20"/>
        </w:rPr>
        <w:t xml:space="preserve"> Salado y Oscar Rocha Alfaro, en su </w:t>
      </w:r>
      <w:r w:rsidRPr="0097397C">
        <w:rPr>
          <w:sz w:val="20"/>
          <w:szCs w:val="20"/>
        </w:rPr>
        <w:t>carácter</w:t>
      </w:r>
      <w:r w:rsidRPr="0097397C">
        <w:rPr>
          <w:sz w:val="20"/>
          <w:szCs w:val="20"/>
        </w:rPr>
        <w:t xml:space="preserve"> de apoderados del Frente Romero + Olmedo, y se oponen al criterio adoptado por el Tribunal Electoral acerca de que durante el acto comicial se incorporen dos o tres </w:t>
      </w:r>
      <w:r w:rsidRPr="0097397C">
        <w:rPr>
          <w:sz w:val="20"/>
          <w:szCs w:val="20"/>
        </w:rPr>
        <w:t>máquinas</w:t>
      </w:r>
      <w:r>
        <w:rPr>
          <w:sz w:val="20"/>
          <w:szCs w:val="20"/>
        </w:rPr>
        <w:t xml:space="preserve"> por cada mesa elec</w:t>
      </w:r>
      <w:r w:rsidRPr="0097397C">
        <w:rPr>
          <w:sz w:val="20"/>
          <w:szCs w:val="20"/>
        </w:rPr>
        <w:t>toral.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Sostienen que tal </w:t>
      </w:r>
      <w:r w:rsidRPr="0097397C">
        <w:rPr>
          <w:sz w:val="20"/>
          <w:szCs w:val="20"/>
        </w:rPr>
        <w:t>decisión</w:t>
      </w:r>
      <w:r w:rsidRPr="0097397C">
        <w:rPr>
          <w:sz w:val="20"/>
          <w:szCs w:val="20"/>
        </w:rPr>
        <w:t xml:space="preserve"> violenta las pautas electorales a seguir informadas oportunamente a los partidos o frentes, </w:t>
      </w:r>
      <w:r w:rsidR="006721A7" w:rsidRPr="0097397C">
        <w:rPr>
          <w:sz w:val="20"/>
          <w:szCs w:val="20"/>
        </w:rPr>
        <w:t>además</w:t>
      </w:r>
      <w:r w:rsidRPr="0097397C">
        <w:rPr>
          <w:sz w:val="20"/>
          <w:szCs w:val="20"/>
        </w:rPr>
        <w:t xml:space="preserve"> afirman que en el momento de realizarse el escrutinio provisorio de cada mesa provocará </w:t>
      </w:r>
      <w:r w:rsidR="006721A7" w:rsidRPr="0097397C">
        <w:rPr>
          <w:sz w:val="20"/>
          <w:szCs w:val="20"/>
        </w:rPr>
        <w:t>confusión</w:t>
      </w:r>
      <w:r w:rsidRPr="0097397C">
        <w:rPr>
          <w:sz w:val="20"/>
          <w:szCs w:val="20"/>
        </w:rPr>
        <w:t xml:space="preserve">, al no poder determinarse </w:t>
      </w:r>
      <w:r w:rsidR="006721A7" w:rsidRPr="0097397C">
        <w:rPr>
          <w:sz w:val="20"/>
          <w:szCs w:val="20"/>
        </w:rPr>
        <w:t>cuál</w:t>
      </w:r>
      <w:r w:rsidRPr="0097397C">
        <w:rPr>
          <w:sz w:val="20"/>
          <w:szCs w:val="20"/>
        </w:rPr>
        <w:t xml:space="preserve"> </w:t>
      </w:r>
      <w:r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</w:t>
      </w:r>
      <w:r w:rsidR="006721A7" w:rsidRPr="0097397C">
        <w:rPr>
          <w:sz w:val="20"/>
          <w:szCs w:val="20"/>
        </w:rPr>
        <w:t>será</w:t>
      </w:r>
      <w:r w:rsidRPr="0097397C">
        <w:rPr>
          <w:sz w:val="20"/>
          <w:szCs w:val="20"/>
        </w:rPr>
        <w:t xml:space="preserve">́ la que se utilizará a esos fines. 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Entienden que los fiscales han formalizado control de conteo en 0 (cero) con la </w:t>
      </w:r>
      <w:r w:rsidR="006721A7" w:rsidRPr="0097397C">
        <w:rPr>
          <w:sz w:val="20"/>
          <w:szCs w:val="20"/>
        </w:rPr>
        <w:t>única</w:t>
      </w:r>
      <w:r w:rsidRPr="0097397C">
        <w:rPr>
          <w:sz w:val="20"/>
          <w:szCs w:val="20"/>
        </w:rPr>
        <w:t xml:space="preserve">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originariamente afectada al comicio, pero que ahora se han sumado </w:t>
      </w:r>
      <w:r w:rsidR="006721A7" w:rsidRPr="0097397C">
        <w:rPr>
          <w:sz w:val="20"/>
          <w:szCs w:val="20"/>
        </w:rPr>
        <w:t>maquinas</w:t>
      </w:r>
      <w:r w:rsidRPr="0097397C">
        <w:rPr>
          <w:sz w:val="20"/>
          <w:szCs w:val="20"/>
        </w:rPr>
        <w:t xml:space="preserve"> distintas a las adquiridas para este proceso.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Alegan que de haberse considerado que </w:t>
      </w:r>
      <w:r w:rsidR="006721A7" w:rsidRPr="0097397C">
        <w:rPr>
          <w:sz w:val="20"/>
          <w:szCs w:val="20"/>
        </w:rPr>
        <w:t>debía</w:t>
      </w:r>
      <w:r w:rsidRPr="0097397C">
        <w:rPr>
          <w:sz w:val="20"/>
          <w:szCs w:val="20"/>
        </w:rPr>
        <w:t xml:space="preserve"> otorgarse mayor </w:t>
      </w:r>
      <w:r w:rsidR="006721A7" w:rsidRPr="0097397C">
        <w:rPr>
          <w:sz w:val="20"/>
          <w:szCs w:val="20"/>
        </w:rPr>
        <w:t>expedición</w:t>
      </w:r>
      <w:r w:rsidRPr="0097397C">
        <w:rPr>
          <w:sz w:val="20"/>
          <w:szCs w:val="20"/>
        </w:rPr>
        <w:t xml:space="preserve"> al proceso, en cada mesa </w:t>
      </w:r>
      <w:r w:rsidR="006721A7" w:rsidRPr="0097397C">
        <w:rPr>
          <w:sz w:val="20"/>
          <w:szCs w:val="20"/>
        </w:rPr>
        <w:t>debían</w:t>
      </w:r>
      <w:r w:rsidRPr="0097397C">
        <w:rPr>
          <w:sz w:val="20"/>
          <w:szCs w:val="20"/>
        </w:rPr>
        <w:t xml:space="preserve"> haberse confeccionado padrones por mesas con menor cantidad de electores.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Solicitan que de no acogerse favorablemente el planteo, se instruya a los veedores y autoridades de mesa que al momento de realizarse el escrutinio provisorio en cada mesa electoral, el presidente proceda a separar en la </w:t>
      </w:r>
      <w:r w:rsidR="006721A7" w:rsidRPr="0097397C">
        <w:rPr>
          <w:sz w:val="20"/>
          <w:szCs w:val="20"/>
        </w:rPr>
        <w:t>categoría</w:t>
      </w:r>
      <w:r w:rsidRPr="0097397C">
        <w:rPr>
          <w:sz w:val="20"/>
          <w:szCs w:val="20"/>
        </w:rPr>
        <w:t xml:space="preserve"> de Gobernador y Vicegobernador la totalidad de las fajas que equivalen a cada voto </w:t>
      </w:r>
      <w:r w:rsidR="006721A7" w:rsidRPr="0097397C">
        <w:rPr>
          <w:sz w:val="20"/>
          <w:szCs w:val="20"/>
        </w:rPr>
        <w:t>válido</w:t>
      </w:r>
      <w:bookmarkStart w:id="0" w:name="_GoBack"/>
      <w:bookmarkEnd w:id="0"/>
      <w:r w:rsidRPr="0097397C">
        <w:rPr>
          <w:sz w:val="20"/>
          <w:szCs w:val="20"/>
        </w:rPr>
        <w:t xml:space="preserve"> emitido y se realice conteo manual de ellos para garantizar la transparencia del proceso.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2o) Que el sistema de voto con boleta </w:t>
      </w:r>
      <w:r w:rsidR="006721A7" w:rsidRPr="0097397C">
        <w:rPr>
          <w:sz w:val="20"/>
          <w:szCs w:val="20"/>
        </w:rPr>
        <w:t>electrónica</w:t>
      </w:r>
      <w:r w:rsidRPr="0097397C">
        <w:rPr>
          <w:sz w:val="20"/>
          <w:szCs w:val="20"/>
        </w:rPr>
        <w:t xml:space="preserve">, justamente tiene la particularidad de que a diferencia de cualquier otro, no guarda </w:t>
      </w:r>
      <w:r w:rsidR="006721A7" w:rsidRPr="0097397C">
        <w:rPr>
          <w:sz w:val="20"/>
          <w:szCs w:val="20"/>
        </w:rPr>
        <w:t>ningún</w:t>
      </w:r>
      <w:r w:rsidRPr="0097397C">
        <w:rPr>
          <w:sz w:val="20"/>
          <w:szCs w:val="20"/>
        </w:rPr>
        <w:t xml:space="preserve"> tipo de </w:t>
      </w:r>
      <w:r w:rsidR="006721A7" w:rsidRPr="0097397C">
        <w:rPr>
          <w:sz w:val="20"/>
          <w:szCs w:val="20"/>
        </w:rPr>
        <w:t>información</w:t>
      </w:r>
      <w:r w:rsidRPr="0097397C">
        <w:rPr>
          <w:sz w:val="20"/>
          <w:szCs w:val="20"/>
        </w:rPr>
        <w:t xml:space="preserve"> en la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. La </w:t>
      </w:r>
      <w:r w:rsidR="006721A7" w:rsidRPr="0097397C">
        <w:rPr>
          <w:sz w:val="20"/>
          <w:szCs w:val="20"/>
        </w:rPr>
        <w:t>selección</w:t>
      </w:r>
      <w:r w:rsidRPr="0097397C">
        <w:rPr>
          <w:sz w:val="20"/>
          <w:szCs w:val="20"/>
        </w:rPr>
        <w:t xml:space="preserve"> del elector es impresa en el voto y guardada en el chip incorporado a la boleta, permitiendo cada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la </w:t>
      </w:r>
      <w:r w:rsidR="006721A7" w:rsidRPr="0097397C">
        <w:rPr>
          <w:sz w:val="20"/>
          <w:szCs w:val="20"/>
        </w:rPr>
        <w:t>verificación</w:t>
      </w:r>
      <w:r w:rsidRPr="0097397C">
        <w:rPr>
          <w:sz w:val="20"/>
          <w:szCs w:val="20"/>
        </w:rPr>
        <w:t xml:space="preserve"> de la </w:t>
      </w:r>
      <w:r w:rsidR="006721A7" w:rsidRPr="0097397C">
        <w:rPr>
          <w:sz w:val="20"/>
          <w:szCs w:val="20"/>
        </w:rPr>
        <w:t>confección</w:t>
      </w:r>
      <w:r w:rsidRPr="0097397C">
        <w:rPr>
          <w:sz w:val="20"/>
          <w:szCs w:val="20"/>
        </w:rPr>
        <w:t xml:space="preserve"> del voto efectuada.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En esa inteligencia, cada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– en el </w:t>
      </w:r>
      <w:r w:rsidR="006721A7" w:rsidRPr="0097397C">
        <w:rPr>
          <w:sz w:val="20"/>
          <w:szCs w:val="20"/>
        </w:rPr>
        <w:t>ámbito</w:t>
      </w:r>
      <w:r w:rsidRPr="0097397C">
        <w:rPr>
          <w:sz w:val="20"/>
          <w:szCs w:val="20"/>
        </w:rPr>
        <w:t xml:space="preserve"> del municipio correspondiente- puede ser utilizada indistintamente para que el ciudadano emita su </w:t>
      </w:r>
      <w:r w:rsidR="006721A7" w:rsidRPr="0097397C">
        <w:rPr>
          <w:sz w:val="20"/>
          <w:szCs w:val="20"/>
        </w:rPr>
        <w:t>selección</w:t>
      </w:r>
      <w:r w:rsidRPr="0097397C">
        <w:rPr>
          <w:sz w:val="20"/>
          <w:szCs w:val="20"/>
        </w:rPr>
        <w:t xml:space="preserve">, por lo tanto emplear </w:t>
      </w:r>
      <w:r w:rsidR="006721A7" w:rsidRPr="0097397C">
        <w:rPr>
          <w:sz w:val="20"/>
          <w:szCs w:val="20"/>
        </w:rPr>
        <w:t>más</w:t>
      </w:r>
      <w:r w:rsidRPr="0097397C">
        <w:rPr>
          <w:sz w:val="20"/>
          <w:szCs w:val="20"/>
        </w:rPr>
        <w:t xml:space="preserve"> de una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por cada mesa electoral resulta indistinto y lo es en pos de facilitarle al elector el derecho – deber de sufragio.</w:t>
      </w:r>
    </w:p>
    <w:p w:rsidR="0097397C" w:rsidRP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Por otra parte, la </w:t>
      </w:r>
      <w:r w:rsidR="006721A7" w:rsidRPr="0097397C">
        <w:rPr>
          <w:sz w:val="20"/>
          <w:szCs w:val="20"/>
        </w:rPr>
        <w:t>vinculación</w:t>
      </w:r>
      <w:r w:rsidRPr="0097397C">
        <w:rPr>
          <w:sz w:val="20"/>
          <w:szCs w:val="20"/>
        </w:rPr>
        <w:t xml:space="preserve"> del elector con la mesa que le corresponde está asegurada con independencia de la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que pueda utilizar para confeccionar su voto, pues </w:t>
      </w:r>
      <w:r w:rsidR="006721A7" w:rsidRPr="0097397C">
        <w:rPr>
          <w:sz w:val="20"/>
          <w:szCs w:val="20"/>
        </w:rPr>
        <w:t>sólo</w:t>
      </w:r>
      <w:r w:rsidRPr="0097397C">
        <w:rPr>
          <w:sz w:val="20"/>
          <w:szCs w:val="20"/>
        </w:rPr>
        <w:t xml:space="preserve"> en la mesa y urna correspondiente le </w:t>
      </w:r>
      <w:r w:rsidR="006721A7" w:rsidRPr="0097397C">
        <w:rPr>
          <w:sz w:val="20"/>
          <w:szCs w:val="20"/>
        </w:rPr>
        <w:t>será</w:t>
      </w:r>
      <w:r w:rsidRPr="0097397C">
        <w:rPr>
          <w:sz w:val="20"/>
          <w:szCs w:val="20"/>
        </w:rPr>
        <w:t xml:space="preserve">́ receptado su voto, previa </w:t>
      </w:r>
      <w:r w:rsidR="006721A7" w:rsidRPr="0097397C">
        <w:rPr>
          <w:sz w:val="20"/>
          <w:szCs w:val="20"/>
        </w:rPr>
        <w:t>constatación</w:t>
      </w:r>
      <w:r w:rsidRPr="0097397C">
        <w:rPr>
          <w:sz w:val="20"/>
          <w:szCs w:val="20"/>
        </w:rPr>
        <w:t xml:space="preserve"> indubitable del </w:t>
      </w:r>
      <w:r w:rsidR="006721A7" w:rsidRPr="0097397C">
        <w:rPr>
          <w:sz w:val="20"/>
          <w:szCs w:val="20"/>
        </w:rPr>
        <w:t>señor</w:t>
      </w:r>
      <w:r w:rsidRPr="0097397C">
        <w:rPr>
          <w:sz w:val="20"/>
          <w:szCs w:val="20"/>
        </w:rPr>
        <w:t xml:space="preserve"> presidente de mesa con el troquel pertinente. 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La </w:t>
      </w:r>
      <w:r w:rsidR="006721A7" w:rsidRPr="0097397C">
        <w:rPr>
          <w:sz w:val="20"/>
          <w:szCs w:val="20"/>
        </w:rPr>
        <w:t>confusión</w:t>
      </w:r>
      <w:r w:rsidRPr="0097397C">
        <w:rPr>
          <w:sz w:val="20"/>
          <w:szCs w:val="20"/>
        </w:rPr>
        <w:t xml:space="preserve"> sobre el funcionamiento del sistema que se usa por cuarta oportunidad en la provincia, manifestada en el planteo, no </w:t>
      </w:r>
      <w:r w:rsidR="006721A7" w:rsidRPr="0097397C">
        <w:rPr>
          <w:sz w:val="20"/>
          <w:szCs w:val="20"/>
        </w:rPr>
        <w:t>sólo</w:t>
      </w:r>
      <w:r w:rsidRPr="0097397C">
        <w:rPr>
          <w:sz w:val="20"/>
          <w:szCs w:val="20"/>
        </w:rPr>
        <w:t xml:space="preserve"> no genera el derecho a pretender que este Tribunal revierta una modalidad que de ninguna manera puede causar agravio sino que constituye una forma de temeridad que conspira contra la adecuada </w:t>
      </w:r>
      <w:r w:rsidR="006721A7" w:rsidRPr="0097397C">
        <w:rPr>
          <w:sz w:val="20"/>
          <w:szCs w:val="20"/>
        </w:rPr>
        <w:t>administración</w:t>
      </w:r>
      <w:r w:rsidRPr="0097397C">
        <w:rPr>
          <w:sz w:val="20"/>
          <w:szCs w:val="20"/>
        </w:rPr>
        <w:t xml:space="preserve"> de los comicios, generando actuaciones inoficiosas.</w:t>
      </w:r>
    </w:p>
    <w:p w:rsidR="0097397C" w:rsidRP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3o) Que en cuanto al escrutinio provisorio cabe aclarar que una vez cerrada la mesa, y previa </w:t>
      </w:r>
      <w:r w:rsidR="006721A7" w:rsidRPr="0097397C">
        <w:rPr>
          <w:sz w:val="20"/>
          <w:szCs w:val="20"/>
        </w:rPr>
        <w:t>verificación</w:t>
      </w:r>
      <w:r w:rsidRPr="0097397C">
        <w:rPr>
          <w:sz w:val="20"/>
          <w:szCs w:val="20"/>
        </w:rPr>
        <w:t xml:space="preserve"> de que la </w:t>
      </w:r>
      <w:r w:rsidR="006721A7" w:rsidRPr="0097397C">
        <w:rPr>
          <w:sz w:val="20"/>
          <w:szCs w:val="20"/>
        </w:rPr>
        <w:t>única</w:t>
      </w:r>
      <w:r w:rsidRPr="0097397C">
        <w:rPr>
          <w:sz w:val="20"/>
          <w:szCs w:val="20"/>
        </w:rPr>
        <w:t xml:space="preserve"> </w:t>
      </w:r>
      <w:r w:rsidR="006721A7" w:rsidRPr="0097397C">
        <w:rPr>
          <w:sz w:val="20"/>
          <w:szCs w:val="20"/>
        </w:rPr>
        <w:t>máquina</w:t>
      </w:r>
      <w:r w:rsidRPr="0097397C">
        <w:rPr>
          <w:sz w:val="20"/>
          <w:szCs w:val="20"/>
        </w:rPr>
        <w:t xml:space="preserve"> que se utilizará para el recuento se encuentra en cero (0), se procede al conteo, el que se realiza con independencia de otras </w:t>
      </w:r>
      <w:r w:rsidR="006721A7" w:rsidRPr="0097397C">
        <w:rPr>
          <w:sz w:val="20"/>
          <w:szCs w:val="20"/>
        </w:rPr>
        <w:t>máquinas</w:t>
      </w:r>
      <w:r w:rsidRPr="0097397C">
        <w:rPr>
          <w:sz w:val="20"/>
          <w:szCs w:val="20"/>
        </w:rPr>
        <w:t xml:space="preserve"> (que no guardan </w:t>
      </w:r>
      <w:r w:rsidR="006721A7" w:rsidRPr="0097397C">
        <w:rPr>
          <w:sz w:val="20"/>
          <w:szCs w:val="20"/>
        </w:rPr>
        <w:t>información</w:t>
      </w:r>
      <w:r w:rsidRPr="0097397C">
        <w:rPr>
          <w:sz w:val="20"/>
          <w:szCs w:val="20"/>
        </w:rPr>
        <w:t xml:space="preserve"> alguna, cabe reiterar) que se hayan utilizado para confeccionar la boleta. Luego se computa voto por voto obtenido por los precandidatos, uno a uno, abierto y con la parte impresa hacia arriba a fin de exhibirla entre los presentes. Ello es </w:t>
      </w:r>
      <w:r w:rsidR="006721A7" w:rsidRPr="0097397C">
        <w:rPr>
          <w:sz w:val="20"/>
          <w:szCs w:val="20"/>
        </w:rPr>
        <w:t>así</w:t>
      </w:r>
      <w:r w:rsidRPr="0097397C">
        <w:rPr>
          <w:sz w:val="20"/>
          <w:szCs w:val="20"/>
        </w:rPr>
        <w:t xml:space="preserve">́ conforme a dos previsiones </w:t>
      </w:r>
      <w:r w:rsidR="006721A7" w:rsidRPr="0097397C">
        <w:rPr>
          <w:sz w:val="20"/>
          <w:szCs w:val="20"/>
        </w:rPr>
        <w:t>específicas</w:t>
      </w:r>
      <w:r w:rsidRPr="0097397C">
        <w:rPr>
          <w:sz w:val="20"/>
          <w:szCs w:val="20"/>
        </w:rPr>
        <w:t xml:space="preserve">, entre otras, el art. 96 de la Ley No 6444 y apartado 4.1 “Inicio del Escrutinio” del Manual de </w:t>
      </w:r>
      <w:r w:rsidR="006721A7" w:rsidRPr="0097397C">
        <w:rPr>
          <w:sz w:val="20"/>
          <w:szCs w:val="20"/>
        </w:rPr>
        <w:t>Capacitación</w:t>
      </w:r>
      <w:r w:rsidRPr="0097397C">
        <w:rPr>
          <w:sz w:val="20"/>
          <w:szCs w:val="20"/>
        </w:rPr>
        <w:t xml:space="preserve"> para Autoridades de Mesa, confeccionado por este Tribunal con el cual se dieron las clases correspondientes </w:t>
      </w:r>
      <w:r w:rsidR="006721A7" w:rsidRPr="0097397C">
        <w:rPr>
          <w:sz w:val="20"/>
          <w:szCs w:val="20"/>
        </w:rPr>
        <w:t>además</w:t>
      </w:r>
      <w:r w:rsidRPr="0097397C">
        <w:rPr>
          <w:sz w:val="20"/>
          <w:szCs w:val="20"/>
        </w:rPr>
        <w:t xml:space="preserve"> de contar con ambos documentos cada pr</w:t>
      </w:r>
      <w:r>
        <w:rPr>
          <w:sz w:val="20"/>
          <w:szCs w:val="20"/>
        </w:rPr>
        <w:t>esidente de mesa.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Tales circunstancias son de </w:t>
      </w:r>
      <w:r w:rsidR="006721A7" w:rsidRPr="0097397C">
        <w:rPr>
          <w:sz w:val="20"/>
          <w:szCs w:val="20"/>
        </w:rPr>
        <w:t>público</w:t>
      </w:r>
      <w:r w:rsidRPr="0097397C">
        <w:rPr>
          <w:sz w:val="20"/>
          <w:szCs w:val="20"/>
        </w:rPr>
        <w:t xml:space="preserve"> conocimiento a tal extremo que figuran puntualmente en la </w:t>
      </w:r>
      <w:r w:rsidR="006721A7" w:rsidRPr="0097397C">
        <w:rPr>
          <w:sz w:val="20"/>
          <w:szCs w:val="20"/>
        </w:rPr>
        <w:t>página</w:t>
      </w:r>
      <w:r w:rsidRPr="0097397C">
        <w:rPr>
          <w:sz w:val="20"/>
          <w:szCs w:val="20"/>
        </w:rPr>
        <w:t xml:space="preserve"> web del Tribunal Electoral.____________ _____ </w:t>
      </w:r>
    </w:p>
    <w:p w:rsid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>Que por ello,</w:t>
      </w:r>
      <w:r>
        <w:rPr>
          <w:sz w:val="20"/>
          <w:szCs w:val="20"/>
        </w:rPr>
        <w:t xml:space="preserve"> </w:t>
      </w:r>
      <w:r w:rsidRPr="0097397C">
        <w:rPr>
          <w:sz w:val="20"/>
          <w:szCs w:val="20"/>
        </w:rPr>
        <w:t>EL TRIBUNAL ELECTORAL DE LA PROVINCIA,</w:t>
      </w:r>
      <w:r>
        <w:rPr>
          <w:sz w:val="20"/>
          <w:szCs w:val="20"/>
        </w:rPr>
        <w:t xml:space="preserve"> </w:t>
      </w:r>
      <w:r w:rsidRPr="0097397C">
        <w:rPr>
          <w:sz w:val="20"/>
          <w:szCs w:val="20"/>
        </w:rPr>
        <w:t xml:space="preserve">RESUELVE: </w:t>
      </w:r>
    </w:p>
    <w:p w:rsidR="0097397C" w:rsidRDefault="0097397C" w:rsidP="0097397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NO HACER LUGAR a la </w:t>
      </w:r>
      <w:r w:rsidR="006721A7" w:rsidRPr="0097397C">
        <w:rPr>
          <w:sz w:val="20"/>
          <w:szCs w:val="20"/>
        </w:rPr>
        <w:t>presentación</w:t>
      </w:r>
      <w:r w:rsidRPr="0097397C">
        <w:rPr>
          <w:sz w:val="20"/>
          <w:szCs w:val="20"/>
        </w:rPr>
        <w:t xml:space="preserve"> formulada por los apodera- dos del Frente Romero + Olmedo.</w:t>
      </w:r>
    </w:p>
    <w:p w:rsidR="0097397C" w:rsidRPr="0097397C" w:rsidRDefault="0097397C" w:rsidP="0097397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MANDAR que se registre y notifique._______________________ </w:t>
      </w:r>
    </w:p>
    <w:p w:rsidR="0097397C" w:rsidRPr="0097397C" w:rsidRDefault="0097397C" w:rsidP="009739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397C">
        <w:rPr>
          <w:sz w:val="20"/>
          <w:szCs w:val="20"/>
        </w:rPr>
        <w:t xml:space="preserve">Fdo.: Dr. Guillermo A. Posadas - Presidente del Tribunal Electoral. Dres. Guillermo A. Catalano, Ernesto </w:t>
      </w:r>
      <w:proofErr w:type="spellStart"/>
      <w:r w:rsidRPr="0097397C">
        <w:rPr>
          <w:sz w:val="20"/>
          <w:szCs w:val="20"/>
        </w:rPr>
        <w:t>Samson</w:t>
      </w:r>
      <w:proofErr w:type="spellEnd"/>
      <w:r w:rsidRPr="0097397C">
        <w:rPr>
          <w:sz w:val="20"/>
          <w:szCs w:val="20"/>
        </w:rPr>
        <w:t xml:space="preserve">, Adolfo A. Figueroa y Dra. Virginia </w:t>
      </w:r>
      <w:r w:rsidR="006721A7" w:rsidRPr="0097397C">
        <w:rPr>
          <w:sz w:val="20"/>
          <w:szCs w:val="20"/>
        </w:rPr>
        <w:t>Solórzano</w:t>
      </w:r>
      <w:r w:rsidRPr="0097397C">
        <w:rPr>
          <w:sz w:val="20"/>
          <w:szCs w:val="20"/>
        </w:rPr>
        <w:t xml:space="preserve"> - Vocales del Tribunal Electoral. Ante Mí </w:t>
      </w:r>
      <w:proofErr w:type="spellStart"/>
      <w:r w:rsidRPr="0097397C">
        <w:rPr>
          <w:sz w:val="20"/>
          <w:szCs w:val="20"/>
        </w:rPr>
        <w:t>Dra</w:t>
      </w:r>
      <w:proofErr w:type="spellEnd"/>
      <w:r w:rsidRPr="0097397C">
        <w:rPr>
          <w:sz w:val="20"/>
          <w:szCs w:val="20"/>
        </w:rPr>
        <w:t xml:space="preserve"> Teresa Ovejero Cornejo - Secretaria. </w:t>
      </w:r>
    </w:p>
    <w:p w:rsidR="00437539" w:rsidRPr="0097397C" w:rsidRDefault="00437539" w:rsidP="0097397C">
      <w:pPr>
        <w:spacing w:after="0"/>
        <w:rPr>
          <w:sz w:val="20"/>
          <w:szCs w:val="20"/>
        </w:rPr>
      </w:pPr>
    </w:p>
    <w:sectPr w:rsidR="00437539" w:rsidRPr="0097397C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D37"/>
    <w:multiLevelType w:val="hybridMultilevel"/>
    <w:tmpl w:val="58842FCA"/>
    <w:lvl w:ilvl="0" w:tplc="3266D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C"/>
    <w:rsid w:val="00295D76"/>
    <w:rsid w:val="00437539"/>
    <w:rsid w:val="004A5EE0"/>
    <w:rsid w:val="004C6DC3"/>
    <w:rsid w:val="00627DD5"/>
    <w:rsid w:val="006721A7"/>
    <w:rsid w:val="0097397C"/>
    <w:rsid w:val="00C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cp:lastPrinted>2015-04-30T22:20:00Z</cp:lastPrinted>
  <dcterms:created xsi:type="dcterms:W3CDTF">2015-04-30T22:05:00Z</dcterms:created>
  <dcterms:modified xsi:type="dcterms:W3CDTF">2015-05-01T01:21:00Z</dcterms:modified>
</cp:coreProperties>
</file>